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460" w:lineRule="exact"/>
        <w:jc w:val="center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kern w:val="2"/>
        </w:rPr>
        <w:t>谈判项目要求</w:t>
      </w:r>
      <w:bookmarkStart w:id="0" w:name="_Toc400972927"/>
      <w:bookmarkStart w:id="1" w:name="_Toc390256503"/>
    </w:p>
    <w:p>
      <w:pPr>
        <w:pStyle w:val="4"/>
        <w:tabs>
          <w:tab w:val="left" w:pos="6090"/>
        </w:tabs>
        <w:spacing w:before="0" w:after="0" w:line="460" w:lineRule="exact"/>
        <w:rPr>
          <w:rFonts w:hint="eastAsia" w:ascii="仿宋" w:hAnsi="仿宋" w:eastAsia="仿宋" w:cs="宋体"/>
          <w:bCs w:val="0"/>
          <w:sz w:val="28"/>
          <w:szCs w:val="28"/>
        </w:rPr>
      </w:pPr>
      <w:bookmarkStart w:id="2" w:name="_Toc21413"/>
      <w:bookmarkStart w:id="3" w:name="_Toc435611221"/>
      <w:bookmarkStart w:id="4" w:name="_Toc405281548"/>
      <w:bookmarkStart w:id="5" w:name="_Toc416813471"/>
      <w:r>
        <w:rPr>
          <w:rFonts w:hint="eastAsia" w:ascii="仿宋" w:hAnsi="仿宋" w:eastAsia="仿宋" w:cs="宋体"/>
          <w:bCs w:val="0"/>
          <w:sz w:val="28"/>
          <w:szCs w:val="28"/>
        </w:rPr>
        <w:t>第一章 谈判项目商务要求</w:t>
      </w:r>
      <w:bookmarkEnd w:id="0"/>
      <w:bookmarkEnd w:id="1"/>
      <w:bookmarkEnd w:id="2"/>
      <w:bookmarkEnd w:id="3"/>
      <w:bookmarkEnd w:id="4"/>
      <w:bookmarkEnd w:id="5"/>
    </w:p>
    <w:tbl>
      <w:tblPr>
        <w:tblStyle w:val="5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1410"/>
        <w:gridCol w:w="6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tblCellSpacing w:w="0" w:type="dxa"/>
          <w:jc w:val="center"/>
        </w:trPr>
        <w:tc>
          <w:tcPr>
            <w:tcW w:w="734" w:type="dxa"/>
            <w:shd w:val="clear" w:color="auto" w:fill="EEEEE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序号</w:t>
            </w:r>
          </w:p>
        </w:tc>
        <w:tc>
          <w:tcPr>
            <w:tcW w:w="1410" w:type="dxa"/>
            <w:shd w:val="clear" w:color="auto" w:fill="EEEEE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需求名称</w:t>
            </w:r>
          </w:p>
        </w:tc>
        <w:tc>
          <w:tcPr>
            <w:tcW w:w="6894" w:type="dxa"/>
            <w:shd w:val="clear" w:color="auto" w:fill="EEEEE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需求说明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tblCellSpacing w:w="0" w:type="dxa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服务地点</w:t>
            </w:r>
          </w:p>
        </w:tc>
        <w:tc>
          <w:tcPr>
            <w:tcW w:w="6894" w:type="dxa"/>
            <w:noWrap w:val="0"/>
            <w:vAlign w:val="center"/>
          </w:tcPr>
          <w:p>
            <w:pPr>
              <w:spacing w:line="320" w:lineRule="exact"/>
              <w:ind w:left="53" w:leftChars="25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tblCellSpacing w:w="0" w:type="dxa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服务期限</w:t>
            </w:r>
          </w:p>
        </w:tc>
        <w:tc>
          <w:tcPr>
            <w:tcW w:w="6894" w:type="dxa"/>
            <w:noWrap w:val="0"/>
            <w:vAlign w:val="center"/>
          </w:tcPr>
          <w:p>
            <w:pPr>
              <w:spacing w:line="460" w:lineRule="exact"/>
              <w:ind w:left="53" w:leftChars="25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合同签订后至2021年12月31日完成。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付款方式</w:t>
            </w:r>
          </w:p>
        </w:tc>
        <w:tc>
          <w:tcPr>
            <w:tcW w:w="689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合同签定后支付合同金额的80%，剩</w:t>
            </w:r>
            <w:r>
              <w:rPr>
                <w:rStyle w:val="7"/>
                <w:rFonts w:hint="eastAsia" w:ascii="仿宋" w:hAnsi="仿宋" w:eastAsia="仿宋"/>
                <w:color w:val="000000"/>
                <w:sz w:val="28"/>
                <w:szCs w:val="28"/>
              </w:rPr>
              <w:t>余20%待服务期满后无息支付，采购人付款前，供应商须开具合法、等额的发票，否则采购人有权拒绝付款并无需承担违约责任。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报价方式</w:t>
            </w:r>
          </w:p>
        </w:tc>
        <w:tc>
          <w:tcPr>
            <w:tcW w:w="6894" w:type="dxa"/>
            <w:noWrap w:val="0"/>
            <w:vAlign w:val="center"/>
          </w:tcPr>
          <w:p>
            <w:pPr>
              <w:spacing w:line="460" w:lineRule="exact"/>
              <w:jc w:val="left"/>
              <w:outlineLvl w:val="1"/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</w:pPr>
            <w:bookmarkStart w:id="6" w:name="_Toc28014"/>
            <w:bookmarkStart w:id="7" w:name="_Toc2218"/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以人民币报价，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根据采购人已确定的工作量内容，对总价进行报价，</w:t>
            </w: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包括供应商完成服务的所有费用，包括且不限于：材料费、人工费、交通费、通讯费、保险费、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工时费、差旅费、</w:t>
            </w: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代理服务费、各项税费及合同实施过程中不可预见费用等。</w:t>
            </w:r>
            <w:bookmarkEnd w:id="6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验收</w:t>
            </w:r>
          </w:p>
        </w:tc>
        <w:tc>
          <w:tcPr>
            <w:tcW w:w="6894" w:type="dxa"/>
            <w:noWrap w:val="0"/>
            <w:vAlign w:val="center"/>
          </w:tcPr>
          <w:p>
            <w:pPr>
              <w:spacing w:line="460" w:lineRule="exact"/>
              <w:outlineLvl w:val="1"/>
              <w:rPr>
                <w:rFonts w:hint="eastAsia" w:ascii="仿宋" w:hAnsi="仿宋" w:eastAsia="仿宋" w:cs="黑体"/>
                <w:sz w:val="28"/>
                <w:szCs w:val="28"/>
              </w:rPr>
            </w:pPr>
            <w:bookmarkStart w:id="8" w:name="_Toc23010"/>
            <w:bookmarkStart w:id="9" w:name="_Toc30261"/>
            <w:r>
              <w:rPr>
                <w:rFonts w:ascii="仿宋" w:hAnsi="仿宋" w:eastAsia="仿宋" w:cs="黑体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.采购人、供应商双方共同进行验收，产品必须完全满足谈判文件要求，如产品本身的问题而达不到验收标准，采购人将不验收，所产生的所有费用由供应商负责。</w:t>
            </w:r>
            <w:bookmarkEnd w:id="8"/>
            <w:bookmarkEnd w:id="9"/>
          </w:p>
          <w:p>
            <w:pPr>
              <w:spacing w:line="460" w:lineRule="exact"/>
              <w:jc w:val="left"/>
              <w:outlineLvl w:val="1"/>
              <w:rPr>
                <w:rFonts w:hint="eastAsia" w:ascii="仿宋" w:hAnsi="仿宋" w:eastAsia="仿宋" w:cs="黑体"/>
                <w:sz w:val="28"/>
                <w:szCs w:val="28"/>
              </w:rPr>
            </w:pPr>
            <w:bookmarkStart w:id="10" w:name="_Toc277"/>
            <w:bookmarkStart w:id="11" w:name="_Toc31533"/>
            <w:r>
              <w:rPr>
                <w:rFonts w:ascii="仿宋" w:hAnsi="仿宋" w:eastAsia="仿宋" w:cs="黑体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.验收环节所产生的所有相关费用均由供应商承担。</w:t>
            </w:r>
            <w:bookmarkEnd w:id="10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0" w:hRule="atLeast"/>
          <w:tblCellSpacing w:w="0" w:type="dxa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售后服务</w:t>
            </w:r>
          </w:p>
        </w:tc>
        <w:tc>
          <w:tcPr>
            <w:tcW w:w="6894" w:type="dxa"/>
            <w:noWrap w:val="0"/>
            <w:vAlign w:val="center"/>
          </w:tcPr>
          <w:p>
            <w:pPr>
              <w:spacing w:line="460" w:lineRule="exact"/>
              <w:jc w:val="left"/>
              <w:outlineLvl w:val="1"/>
              <w:rPr>
                <w:rFonts w:hint="eastAsia" w:ascii="仿宋" w:hAnsi="仿宋" w:eastAsia="仿宋" w:cs="黑体"/>
                <w:sz w:val="28"/>
                <w:szCs w:val="28"/>
              </w:rPr>
            </w:pPr>
            <w:bookmarkStart w:id="12" w:name="_Toc3978"/>
            <w:bookmarkStart w:id="13" w:name="_Toc14299"/>
            <w:r>
              <w:rPr>
                <w:rFonts w:hint="eastAsia" w:ascii="仿宋" w:hAnsi="仿宋" w:eastAsia="仿宋" w:cs="黑体"/>
                <w:sz w:val="28"/>
                <w:szCs w:val="28"/>
              </w:rPr>
              <w:t>供应商应具有完整的售后服务体系，固定的专业技术人员。在服务期限内供应商在接到采购人通知后最长不超过 24 小时到达现场。</w:t>
            </w:r>
            <w:bookmarkEnd w:id="12"/>
            <w:bookmarkEnd w:id="13"/>
          </w:p>
          <w:p>
            <w:pPr>
              <w:spacing w:line="460" w:lineRule="exact"/>
              <w:outlineLvl w:val="1"/>
              <w:rPr>
                <w:rFonts w:ascii="仿宋" w:hAnsi="仿宋" w:eastAsia="仿宋" w:cs="黑体"/>
                <w:sz w:val="28"/>
                <w:szCs w:val="28"/>
              </w:rPr>
            </w:pPr>
            <w:bookmarkStart w:id="14" w:name="_Toc9495"/>
            <w:bookmarkStart w:id="15" w:name="_Toc22424"/>
            <w:r>
              <w:rPr>
                <w:rFonts w:hint="eastAsia" w:ascii="仿宋" w:hAnsi="仿宋" w:eastAsia="仿宋" w:cs="黑体"/>
                <w:sz w:val="28"/>
                <w:szCs w:val="28"/>
              </w:rPr>
              <w:t>（1)全方位技术支持；</w:t>
            </w:r>
            <w:bookmarkEnd w:id="14"/>
            <w:bookmarkEnd w:id="15"/>
          </w:p>
          <w:p>
            <w:pPr>
              <w:spacing w:line="460" w:lineRule="exact"/>
              <w:outlineLvl w:val="1"/>
              <w:rPr>
                <w:rFonts w:ascii="仿宋" w:hAnsi="仿宋" w:eastAsia="仿宋" w:cs="黑体"/>
                <w:sz w:val="28"/>
                <w:szCs w:val="28"/>
              </w:rPr>
            </w:pPr>
            <w:bookmarkStart w:id="16" w:name="_Toc30519"/>
            <w:bookmarkStart w:id="17" w:name="_Toc4261"/>
            <w:r>
              <w:rPr>
                <w:rFonts w:hint="eastAsia" w:ascii="仿宋" w:hAnsi="仿宋" w:eastAsia="仿宋" w:cs="黑体"/>
                <w:sz w:val="28"/>
                <w:szCs w:val="28"/>
              </w:rPr>
              <w:t>（2)7*24 小时电话响应；</w:t>
            </w:r>
            <w:bookmarkEnd w:id="16"/>
            <w:bookmarkEnd w:id="17"/>
          </w:p>
          <w:p>
            <w:pPr>
              <w:spacing w:line="460" w:lineRule="exact"/>
              <w:ind w:left="280" w:hanging="280" w:hangingChars="100"/>
              <w:outlineLvl w:val="1"/>
              <w:rPr>
                <w:rFonts w:ascii="仿宋" w:hAnsi="仿宋" w:eastAsia="仿宋" w:cs="黑体"/>
                <w:sz w:val="28"/>
                <w:szCs w:val="28"/>
              </w:rPr>
            </w:pPr>
            <w:bookmarkStart w:id="18" w:name="_Toc12129"/>
            <w:bookmarkStart w:id="19" w:name="_Toc26738"/>
            <w:r>
              <w:rPr>
                <w:rFonts w:hint="eastAsia" w:ascii="仿宋" w:hAnsi="仿宋" w:eastAsia="仿宋" w:cs="黑体"/>
                <w:sz w:val="28"/>
                <w:szCs w:val="28"/>
              </w:rPr>
              <w:t>（3)售后响应时间2小时内做出响应，电话不能解决的24小时内到达现场；</w:t>
            </w:r>
            <w:bookmarkEnd w:id="18"/>
            <w:bookmarkEnd w:id="19"/>
          </w:p>
          <w:p>
            <w:pPr>
              <w:spacing w:line="460" w:lineRule="exact"/>
              <w:outlineLvl w:val="1"/>
              <w:rPr>
                <w:rFonts w:ascii="仿宋" w:hAnsi="仿宋" w:eastAsia="仿宋" w:cs="黑体"/>
                <w:sz w:val="28"/>
                <w:szCs w:val="28"/>
              </w:rPr>
            </w:pPr>
            <w:bookmarkStart w:id="20" w:name="_Toc15905"/>
            <w:bookmarkStart w:id="21" w:name="_Toc32119"/>
            <w:r>
              <w:rPr>
                <w:rFonts w:hint="eastAsia" w:ascii="仿宋" w:hAnsi="仿宋" w:eastAsia="仿宋" w:cs="黑体"/>
                <w:sz w:val="28"/>
                <w:szCs w:val="28"/>
              </w:rPr>
              <w:t>（4)提供相应技术文档；</w:t>
            </w:r>
            <w:bookmarkEnd w:id="20"/>
            <w:bookmarkEnd w:id="21"/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</w:t>
            </w:r>
          </w:p>
        </w:tc>
      </w:tr>
    </w:tbl>
    <w:p>
      <w:pPr>
        <w:spacing w:line="46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6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6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widowControl/>
        <w:tabs>
          <w:tab w:val="left" w:pos="6090"/>
        </w:tabs>
        <w:spacing w:before="0" w:after="0" w:line="460" w:lineRule="exact"/>
        <w:rPr>
          <w:rFonts w:hint="eastAsia" w:ascii="仿宋" w:hAnsi="仿宋" w:eastAsia="仿宋" w:cs="宋体"/>
          <w:bCs w:val="0"/>
          <w:sz w:val="28"/>
          <w:szCs w:val="28"/>
        </w:rPr>
      </w:pPr>
      <w:bookmarkStart w:id="22" w:name="_Toc36306199"/>
      <w:bookmarkStart w:id="23" w:name="_Toc15488"/>
      <w:r>
        <w:rPr>
          <w:rFonts w:hint="eastAsia" w:ascii="仿宋" w:hAnsi="仿宋" w:eastAsia="仿宋" w:cs="宋体"/>
          <w:bCs w:val="0"/>
          <w:sz w:val="28"/>
          <w:szCs w:val="28"/>
        </w:rPr>
        <w:t>第二章 谈判项目技术要求（服务需求）</w:t>
      </w:r>
      <w:bookmarkEnd w:id="22"/>
      <w:bookmarkEnd w:id="23"/>
    </w:p>
    <w:p>
      <w:pPr>
        <w:pStyle w:val="9"/>
        <w:widowControl/>
        <w:spacing w:line="460" w:lineRule="exact"/>
        <w:ind w:left="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（一）内容清单</w:t>
      </w:r>
    </w:p>
    <w:tbl>
      <w:tblPr>
        <w:tblStyle w:val="5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381"/>
        <w:gridCol w:w="3225"/>
        <w:gridCol w:w="1275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面积（亩）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项目内容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用量/亩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81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2449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叶面阻控剂采购及喷施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200ml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489.8升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土壤修复菌剂采购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35Kg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85.715吨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锌肥的采购及采购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1Kg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2.449吨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转运费、撒施费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/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1项</w:t>
            </w:r>
          </w:p>
        </w:tc>
      </w:tr>
    </w:tbl>
    <w:p>
      <w:pPr>
        <w:spacing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（二）项目实施范围、地点：</w:t>
      </w:r>
    </w:p>
    <w:p>
      <w:pPr>
        <w:spacing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涉及塔城乡南州村、秋溪村、芳湖村3个行政村。面积共发2449亩。</w:t>
      </w:r>
    </w:p>
    <w:p>
      <w:pPr>
        <w:spacing w:line="460" w:lineRule="exact"/>
        <w:rPr>
          <w:rFonts w:hint="eastAsia" w:ascii="仿宋" w:hAnsi="仿宋" w:eastAsia="仿宋" w:cs="仿宋"/>
          <w:sz w:val="28"/>
          <w:szCs w:val="28"/>
        </w:rPr>
      </w:pPr>
      <w:bookmarkStart w:id="24" w:name="_Toc72171416"/>
      <w:r>
        <w:rPr>
          <w:rFonts w:hint="eastAsia" w:ascii="仿宋" w:hAnsi="仿宋" w:eastAsia="仿宋" w:cs="仿宋"/>
          <w:b/>
          <w:bCs/>
          <w:sz w:val="28"/>
          <w:szCs w:val="28"/>
        </w:rPr>
        <w:t>（三）项目目标</w:t>
      </w:r>
      <w:bookmarkEnd w:id="24"/>
      <w:r>
        <w:rPr>
          <w:rFonts w:hint="eastAsia" w:ascii="仿宋" w:hAnsi="仿宋" w:eastAsia="仿宋" w:cs="仿宋"/>
          <w:b/>
          <w:bCs/>
          <w:sz w:val="28"/>
          <w:szCs w:val="28"/>
        </w:rPr>
        <w:t>要求</w:t>
      </w:r>
    </w:p>
    <w:p>
      <w:pPr>
        <w:spacing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通过2021年项目的实施，达到以下安全利用目标：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1、确保实施安全利用技术水稻种植区域内稻谷产量减幅控制在10%以内。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2、确保安全利用区糙米达标率达到90%以上，所有安全利用区措施完成率达到100%。 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3、确保严格管控类耕地安全利用措施到位率100%； </w:t>
      </w:r>
    </w:p>
    <w:p>
      <w:pPr>
        <w:spacing w:line="4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（四）项目技术要求（治理与修复技术要求）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25" w:name="_Toc26282"/>
      <w:bookmarkStart w:id="26" w:name="_Toc1968557194"/>
      <w:r>
        <w:rPr>
          <w:rFonts w:hint="eastAsia" w:ascii="仿宋" w:hAnsi="仿宋" w:eastAsia="仿宋" w:cs="仿宋"/>
          <w:sz w:val="28"/>
          <w:szCs w:val="28"/>
        </w:rPr>
        <w:t>1、叶面阻控技术</w:t>
      </w:r>
      <w:bookmarkEnd w:id="25"/>
      <w:bookmarkEnd w:id="26"/>
      <w:r>
        <w:rPr>
          <w:rFonts w:hint="eastAsia" w:ascii="仿宋" w:hAnsi="仿宋" w:eastAsia="仿宋" w:cs="仿宋"/>
          <w:sz w:val="28"/>
          <w:szCs w:val="28"/>
        </w:rPr>
        <w:t>（中量元素肥料）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水稻生长周期合理喷施含硅、钾等中量元素的叶面阻控剂能降低水稻对重金属的吸收、分配和转移，降低农药和重金属对农作物的污染。同时能增加作物体内通气性，能提高作物（特别是禾谷类作物）对病虫害的抵抗力，预防作物根系腐烂和早衰。还能调节作物在不同时期对氮、磷、钾等不同养分的平衡吸收，提高作物的光合作用和叶绿素含量，促进有机物积累，改善作物的品质提高单产。每亩施加200ml。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（2）叶面阻控剂技术指标要求：剂型：水剂，主要技术指标：Si≥130g/L，K2O≥180g/L pH值10.0-12.0，水不溶物≤10g/L，取得农业农村部肥料登记证，通用名称为中量元素肥料，适用作物须包含水稻，重金属含量符合国家标准的限量要求：汞≤5mg/kg，砷≤10mg/kg，镉≤10mg/kg，铅≤50mg/kg，铬≤50mg/kg。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2、土壤修复菌剂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微生物菌剂是指目标微生物（有效菌）经过工业化生产扩繁后，利用多孔的物质作为吸附剂（如草炭、蛭石），吸附菌体的发酵液加工制成的活菌制剂。具有直接或间接改良土壤、恢复地力、预防土传病害、维持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"https://baike.baidu.com/item/%E6%A0%B9%E9%99%85%E5%BE%AE%E7%94%9F%E7%89%A9/8131344" \t "https://baike.baidu.com/item/%E5%BE%AE%E7%94%9F%E7%89%A9%E8%8F%8C%E5%89%82/_blank"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根际微生物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区系平衡和降解有毒害物质等作用，也能够达到治理土壤重金属超标的作用。农用微生物菌剂恰当使用可以提高农产品产量、改善农产品品质、减少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"https://baike.baidu.com/item/%E5%8C%96%E8%82%A5/658856" \t "https://baike.baidu.com/item/%E5%BE%AE%E7%94%9F%E7%89%A9%E8%8F%8C%E5%89%82/_blank"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化肥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用量、降低成本、改良土壤、保护生态环境。每亩施加35kg。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（2）土壤修复菌剂技术指标要求 ：有效活菌数≥3亿/克，有机质≥15%，适用范围为酸性土壤，须取得农业农村部肥料登记证，通用名称为土壤修复菌剂。规格为20kg-25kg/袋。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3、施用锌肥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锌肥的作用是促根壮苗、增加作物抗逆性、提高产量、促进作物进行光合作用、促进氮素代谢、提高作物对氮肥的吸收利用率。使用方法是做基肥时可以选择与氮磷肥搭配使用，每亩地施加1kg左右，注意不能将肥料直接撒在土壤表面。</w:t>
      </w:r>
    </w:p>
    <w:p>
      <w:pPr>
        <w:spacing w:line="4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（五）项目实施要求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1、实施记录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供应商在实施过程中，应全程详细记录各项技术措施实施区域与面积、实施时间与用量、田间日常管理等信息，每项登记严格按要求进行签名与确认，并造册存档，建立详细台账。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2、抽检与跟踪监测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应全程配合采购人对叶面阻控剂（中量元素肥料）、土壤修复菌剂（微生物菌剂）、投入品进行质量抽检，严格产品执行标准，保障投入品不带来二次污染。投入品到场后现场随机抽样送有资质的检测机构进行检测。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3、台账建设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供应商要积极配合农业农村局工作，严格按照实施方案中的时间节点落实有关技术措施，定期报告工作进展。项目实施期间应做好工作台账，台账内容包括资金使用、物资采购、措施应用方面。</w:t>
      </w:r>
    </w:p>
    <w:p>
      <w:pPr>
        <w:spacing w:line="460" w:lineRule="exact"/>
        <w:rPr>
          <w:rFonts w:ascii="仿宋" w:hAnsi="仿宋" w:eastAsia="仿宋" w:cs="仿宋"/>
          <w:b/>
          <w:bCs/>
          <w:spacing w:val="2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2"/>
          <w:kern w:val="0"/>
          <w:sz w:val="28"/>
          <w:szCs w:val="28"/>
          <w:highlight w:val="white"/>
        </w:rPr>
        <w:t>注：以上“技术部分（服务需求）”要求为实质性条款须完全响应，否则投标无效。</w:t>
      </w:r>
    </w:p>
    <w:p>
      <w:bookmarkStart w:id="27" w:name="_GoBack"/>
      <w:bookmarkEnd w:id="2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822C7"/>
    <w:rsid w:val="2818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adjustRightInd w:val="0"/>
      <w:jc w:val="center"/>
      <w:textAlignment w:val="baseline"/>
    </w:pPr>
    <w:rPr>
      <w:kern w:val="0"/>
      <w:sz w:val="24"/>
      <w:szCs w:val="24"/>
    </w:rPr>
  </w:style>
  <w:style w:type="character" w:customStyle="1" w:styleId="7">
    <w:name w:val="NormalCharacter"/>
    <w:uiPriority w:val="0"/>
  </w:style>
  <w:style w:type="paragraph" w:customStyle="1" w:styleId="8">
    <w:name w:val="正文缩进1"/>
    <w:basedOn w:val="1"/>
    <w:qFormat/>
    <w:uiPriority w:val="0"/>
    <w:rPr>
      <w:szCs w:val="24"/>
    </w:rPr>
  </w:style>
  <w:style w:type="paragraph" w:customStyle="1" w:styleId="9">
    <w:name w:val="样式2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2522" w:right="0"/>
      <w:jc w:val="center"/>
    </w:pPr>
    <w:rPr>
      <w:rFonts w:hint="default" w:ascii="Times New Roman" w:hAnsi="Times New Roman" w:eastAsia="宋体" w:cs="Times New Roman"/>
      <w:kern w:val="0"/>
      <w:sz w:val="24"/>
      <w:szCs w:val="3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2021-10-27T07:09:00Z</dcterms:created>
  <dc:creator>Pm</dc:creator>
  <cp:lastModifiedBy>Pm</cp:lastModifiedBy>
  <dcterms:modified xsi:type="dcterms:W3CDTF">2021-10-27T07:09:59Z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89DA239C11E24B659291AB8D16A0C1FE</vt:lpwstr>
  </property>
</Properties>
</file>