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仿宋" w:hAnsi="仿宋" w:eastAsia="仿宋" w:cs="黑体"/>
        </w:rPr>
      </w:pPr>
      <w:r>
        <w:rPr>
          <w:rFonts w:hint="eastAsia" w:ascii="仿宋" w:hAnsi="仿宋" w:eastAsia="仿宋" w:cs="黑体"/>
        </w:rPr>
        <w:t>询价项目要求</w:t>
      </w:r>
      <w:bookmarkStart w:id="0" w:name="_Toc390256503"/>
      <w:bookmarkStart w:id="1" w:name="_Toc400972927"/>
      <w:bookmarkStart w:id="2" w:name="_Toc10457334"/>
      <w:bookmarkStart w:id="3" w:name="_Toc14840203"/>
      <w:bookmarkStart w:id="4" w:name="_Toc478889387"/>
      <w:bookmarkStart w:id="5" w:name="_Toc9417277"/>
      <w:bookmarkStart w:id="6" w:name="_Toc59274166"/>
      <w:bookmarkStart w:id="7" w:name="_Toc535299946"/>
      <w:bookmarkStart w:id="8" w:name="_Toc478897905"/>
      <w:bookmarkStart w:id="9" w:name="_Toc11660581"/>
      <w:bookmarkStart w:id="10" w:name="_Toc6976837"/>
    </w:p>
    <w:p>
      <w:pPr>
        <w:pStyle w:val="4"/>
        <w:spacing w:before="0" w:after="0"/>
        <w:rPr>
          <w:rFonts w:ascii="仿宋" w:hAnsi="仿宋" w:eastAsia="仿宋"/>
          <w:sz w:val="28"/>
          <w:szCs w:val="28"/>
        </w:rPr>
      </w:pPr>
      <w:bookmarkStart w:id="11" w:name="_Toc507513647"/>
      <w:bookmarkStart w:id="12" w:name="_Toc36295473"/>
      <w:bookmarkStart w:id="13" w:name="_Toc36295779"/>
      <w:bookmarkStart w:id="14" w:name="_Toc405281548"/>
      <w:bookmarkStart w:id="15" w:name="_Toc416813471"/>
      <w:r>
        <w:rPr>
          <w:rFonts w:hint="eastAsia" w:ascii="仿宋" w:hAnsi="仿宋" w:eastAsia="仿宋"/>
          <w:sz w:val="28"/>
          <w:szCs w:val="28"/>
        </w:rPr>
        <w:t>一、</w:t>
      </w:r>
      <w:bookmarkEnd w:id="11"/>
      <w:r>
        <w:rPr>
          <w:rFonts w:hint="eastAsia" w:ascii="仿宋" w:hAnsi="仿宋" w:eastAsia="仿宋"/>
          <w:sz w:val="28"/>
          <w:szCs w:val="28"/>
        </w:rPr>
        <w:t>商务要求</w:t>
      </w:r>
      <w:bookmarkEnd w:id="12"/>
      <w:bookmarkEnd w:id="13"/>
    </w:p>
    <w:bookmarkEnd w:id="0"/>
    <w:bookmarkEnd w:id="1"/>
    <w:bookmarkEnd w:id="14"/>
    <w:bookmarkEnd w:id="15"/>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43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bookmarkStart w:id="16" w:name="_Toc507513648"/>
            <w:bookmarkStart w:id="17" w:name="_Toc478480254"/>
            <w:bookmarkStart w:id="18" w:name="_Toc36295780"/>
            <w:bookmarkStart w:id="19" w:name="_Toc36295474"/>
            <w:r>
              <w:rPr>
                <w:rFonts w:hint="eastAsia" w:ascii="仿宋" w:hAnsi="仿宋" w:eastAsia="仿宋"/>
                <w:sz w:val="28"/>
                <w:szCs w:val="28"/>
              </w:rPr>
              <w:t>序号</w:t>
            </w:r>
          </w:p>
        </w:tc>
        <w:tc>
          <w:tcPr>
            <w:tcW w:w="857"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需求名称</w:t>
            </w:r>
          </w:p>
        </w:tc>
        <w:tc>
          <w:tcPr>
            <w:tcW w:w="3765"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ind w:left="42" w:leftChars="20" w:right="42" w:rightChars="20"/>
              <w:jc w:val="center"/>
              <w:rPr>
                <w:rFonts w:ascii="仿宋" w:hAnsi="仿宋" w:eastAsia="仿宋"/>
                <w:sz w:val="28"/>
                <w:szCs w:val="28"/>
              </w:rPr>
            </w:pPr>
            <w:r>
              <w:rPr>
                <w:rFonts w:hint="eastAsia" w:ascii="仿宋" w:hAnsi="仿宋" w:eastAsia="仿宋"/>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交货地点</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sz w:val="28"/>
                <w:szCs w:val="28"/>
              </w:rPr>
            </w:pPr>
            <w:r>
              <w:rPr>
                <w:rFonts w:hint="eastAsia" w:ascii="仿宋" w:hAnsi="仿宋" w:eastAsia="仿宋" w:cs="宋体"/>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2</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交货期限</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cs="宋体"/>
                <w:sz w:val="28"/>
                <w:szCs w:val="28"/>
              </w:rPr>
            </w:pPr>
            <w:r>
              <w:rPr>
                <w:rFonts w:hint="eastAsia" w:ascii="仿宋" w:hAnsi="仿宋" w:eastAsia="仿宋" w:cs="黑体"/>
                <w:color w:val="000000"/>
                <w:sz w:val="28"/>
                <w:szCs w:val="28"/>
              </w:rPr>
              <w:t>自合同签订之日起</w:t>
            </w:r>
            <w:r>
              <w:rPr>
                <w:rFonts w:hint="eastAsia" w:ascii="仿宋" w:hAnsi="仿宋" w:eastAsia="仿宋" w:cs="黑体"/>
                <w:color w:val="000000"/>
                <w:sz w:val="28"/>
                <w:szCs w:val="28"/>
                <w:lang w:val="en-US" w:eastAsia="zh-CN"/>
              </w:rPr>
              <w:t>15</w:t>
            </w:r>
            <w:r>
              <w:rPr>
                <w:rFonts w:hint="eastAsia" w:ascii="仿宋" w:hAnsi="仿宋" w:eastAsia="仿宋" w:cs="黑体"/>
                <w:color w:val="000000"/>
                <w:sz w:val="28"/>
                <w:szCs w:val="28"/>
              </w:rPr>
              <w:t>天内供货、安装、调试及整个项目验收完毕（以签订的中标合同为准），将全部货物以及随附单证和技术资料等送达至采购人指定地点，以采购人出具的收货证明上的日期为最终项目验收日期。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3</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557" w:hanging="557" w:hangingChars="199"/>
              <w:jc w:val="center"/>
              <w:rPr>
                <w:rFonts w:ascii="仿宋" w:hAnsi="仿宋" w:eastAsia="仿宋" w:cs="宋体"/>
                <w:sz w:val="28"/>
                <w:szCs w:val="28"/>
              </w:rPr>
            </w:pPr>
            <w:r>
              <w:rPr>
                <w:rFonts w:hint="eastAsia" w:ascii="仿宋" w:hAnsi="仿宋" w:eastAsia="仿宋" w:cs="宋体"/>
                <w:sz w:val="28"/>
                <w:szCs w:val="28"/>
              </w:rPr>
              <w:t>付款方式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黑体"/>
                <w:color w:val="000000"/>
                <w:sz w:val="28"/>
                <w:szCs w:val="28"/>
              </w:rPr>
              <w:t>产品验收合格后付款100%。</w:t>
            </w:r>
          </w:p>
          <w:p>
            <w:pPr>
              <w:spacing w:line="520" w:lineRule="exact"/>
              <w:ind w:left="42" w:leftChars="20" w:right="42" w:rightChars="20"/>
              <w:rPr>
                <w:rFonts w:ascii="仿宋" w:hAnsi="仿宋" w:eastAsia="仿宋"/>
                <w:sz w:val="28"/>
                <w:szCs w:val="28"/>
              </w:rPr>
            </w:pPr>
            <w:r>
              <w:rPr>
                <w:rFonts w:hint="eastAsia" w:ascii="仿宋" w:hAnsi="仿宋" w:eastAsia="仿宋" w:cs="宋体"/>
                <w:sz w:val="28"/>
                <w:szCs w:val="28"/>
              </w:rPr>
              <w:t>2）采购人付款前，供应商须开具合法、等额的发票，否则采购人有权拒绝付款并无需承担违约责任。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4</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报价方式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以人民币报价，包含合同货物、材料费（主材及辅材）、运输、安装、验收、保修、税收、代理服务费、所有手续费等直至验收合格交付采购人使用的所有相关费用。成交报价在成交后的合同实施期间应保持不变，即不因市场价格或政策性价格的调整而增减（若因成交供应商责任而导致的采购人依据合同条款对成交供应商的扣款处罚除外）；</w:t>
            </w:r>
          </w:p>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注：投标价格过低，将承担</w:t>
            </w:r>
            <w:r>
              <w:rPr>
                <w:rFonts w:hint="eastAsia" w:ascii="仿宋" w:hAnsi="仿宋" w:eastAsia="仿宋"/>
                <w:sz w:val="28"/>
                <w:szCs w:val="28"/>
                <w:lang w:val="en-US" w:eastAsia="zh-CN"/>
              </w:rPr>
              <w:t>询价</w:t>
            </w:r>
            <w:r>
              <w:rPr>
                <w:rFonts w:hint="eastAsia" w:ascii="仿宋" w:hAnsi="仿宋" w:eastAsia="仿宋"/>
                <w:sz w:val="28"/>
                <w:szCs w:val="28"/>
              </w:rPr>
              <w:t>小组认为其投标报价低于成本价，有可能影响商品质量和不能诚信履约，并导致其响应被拒绝的风险。投标报价不得超过采购预算，超过采购预算的则作无效标处理。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5</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25" w:hanging="25" w:hangingChars="9"/>
              <w:jc w:val="center"/>
              <w:rPr>
                <w:rFonts w:ascii="仿宋" w:hAnsi="仿宋" w:eastAsia="仿宋" w:cs="宋体"/>
                <w:sz w:val="28"/>
                <w:szCs w:val="28"/>
              </w:rPr>
            </w:pPr>
            <w:r>
              <w:rPr>
                <w:rFonts w:hint="eastAsia" w:ascii="仿宋" w:hAnsi="仿宋" w:eastAsia="仿宋" w:cs="宋体"/>
                <w:sz w:val="28"/>
                <w:szCs w:val="28"/>
              </w:rPr>
              <w:t>验收</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1）成交供应商须提供产品的原厂技术文件以及验收要求的资料。</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2）成交供应商设备供货、安装施工、调试、工程验收、货物运输、售后服务等均应符合国家相关法律、法规以及国家标准、相关行业标准。成交供应商提供设备的制造标准、安装标准及技术规范等有关资料必须符合国家相应的有关标准、规范要求。</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3）成交供应商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供应商承担。</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4）成交供应商根据合同要求进行系统安装、调试后，由采购方进行使用性能方面的验收，确保在使用过程内具有满意的性能。如质量不符合要求，供应商应无条件及时更换并不得以任何原因拖延。</w:t>
            </w:r>
          </w:p>
          <w:p>
            <w:pPr>
              <w:spacing w:line="520" w:lineRule="exact"/>
              <w:ind w:left="42" w:leftChars="20" w:right="42" w:rightChars="20"/>
              <w:jc w:val="left"/>
              <w:rPr>
                <w:rFonts w:hint="eastAsia" w:ascii="仿宋" w:hAnsi="仿宋" w:eastAsia="仿宋"/>
                <w:sz w:val="28"/>
                <w:szCs w:val="28"/>
                <w:lang w:eastAsia="zh-CN"/>
              </w:rPr>
            </w:pPr>
            <w:r>
              <w:rPr>
                <w:rFonts w:hint="eastAsia" w:ascii="仿宋" w:hAnsi="仿宋" w:eastAsia="仿宋"/>
                <w:sz w:val="28"/>
                <w:szCs w:val="28"/>
              </w:rPr>
              <w:t>5）采购人根据</w:t>
            </w:r>
            <w:r>
              <w:rPr>
                <w:rFonts w:hint="eastAsia" w:ascii="仿宋" w:hAnsi="仿宋" w:eastAsia="仿宋"/>
                <w:sz w:val="28"/>
                <w:szCs w:val="28"/>
                <w:lang w:val="en-US" w:eastAsia="zh-CN"/>
              </w:rPr>
              <w:t>询价</w:t>
            </w:r>
            <w:r>
              <w:rPr>
                <w:rFonts w:hint="eastAsia" w:ascii="仿宋" w:hAnsi="仿宋" w:eastAsia="仿宋"/>
                <w:sz w:val="28"/>
                <w:szCs w:val="28"/>
              </w:rPr>
              <w:t>文件、成交供应商的响应文件、合同、制造厂商的产品验收标准及中华人民共和国有关标准进行验收。采购人有权委托中国具权威资质机构对设备的灵敏度、测量精度等技术性能进行验收。因成交供应商所提供的产品未达到</w:t>
            </w:r>
            <w:r>
              <w:rPr>
                <w:rFonts w:hint="eastAsia" w:ascii="仿宋" w:hAnsi="仿宋" w:eastAsia="仿宋"/>
                <w:sz w:val="28"/>
                <w:szCs w:val="28"/>
                <w:lang w:val="en-US" w:eastAsia="zh-CN"/>
              </w:rPr>
              <w:t>询价</w:t>
            </w:r>
            <w:r>
              <w:rPr>
                <w:rFonts w:hint="eastAsia" w:ascii="仿宋" w:hAnsi="仿宋" w:eastAsia="仿宋"/>
                <w:sz w:val="28"/>
                <w:szCs w:val="28"/>
              </w:rPr>
              <w:t>文件中技术性能指标的，一律拒收，不予付款，采购人有权因此终止合同的执行，成交供应商将自行承担所有经济损失</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6</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25" w:hanging="25" w:hangingChars="9"/>
              <w:jc w:val="center"/>
              <w:rPr>
                <w:rFonts w:ascii="仿宋" w:hAnsi="仿宋" w:eastAsia="仿宋"/>
                <w:sz w:val="28"/>
                <w:szCs w:val="28"/>
              </w:rPr>
            </w:pPr>
            <w:r>
              <w:rPr>
                <w:rFonts w:hint="eastAsia" w:ascii="仿宋" w:hAnsi="仿宋" w:eastAsia="仿宋" w:cs="宋体"/>
                <w:sz w:val="28"/>
                <w:szCs w:val="28"/>
              </w:rPr>
              <w:t>售后服务与培训</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sz w:val="28"/>
                <w:szCs w:val="28"/>
              </w:rPr>
            </w:pPr>
            <w:r>
              <w:rPr>
                <w:rFonts w:hint="eastAsia" w:ascii="仿宋" w:hAnsi="仿宋" w:eastAsia="仿宋"/>
                <w:sz w:val="28"/>
                <w:szCs w:val="28"/>
              </w:rPr>
              <w:t>1）本项目的质量保证期为设备验收合格后</w:t>
            </w:r>
            <w:r>
              <w:rPr>
                <w:rFonts w:hint="eastAsia" w:ascii="仿宋" w:hAnsi="仿宋" w:eastAsia="仿宋"/>
                <w:sz w:val="28"/>
                <w:szCs w:val="28"/>
                <w:lang w:val="en-US" w:eastAsia="zh-CN"/>
              </w:rPr>
              <w:t>2</w:t>
            </w:r>
            <w:r>
              <w:rPr>
                <w:rFonts w:hint="eastAsia" w:ascii="仿宋" w:hAnsi="仿宋" w:eastAsia="仿宋"/>
                <w:sz w:val="28"/>
                <w:szCs w:val="28"/>
              </w:rPr>
              <w:t>年，并提供仪器终身维修服务。</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2）成交供应商承诺提供原厂商质量保证和售后服务。在质量保证期内设备发生故障，成交供应商应免费提供原厂商售后维修和更换零件服务。</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3）成交供应商负责将设备运至采购人指定的地点，免费负责安装，免费现场培训及技术应用培训。</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4）货到后，成交供应商负责派技术人员到现场进行安装、调试，直至验收合格；</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5）现场培训，仪器在安装调试同时，成交供应商负责免费派工程师对用户就仪器原理和基本操作进行现场培训，使采购人用户能正常操作；</w:t>
            </w:r>
          </w:p>
          <w:p>
            <w:pPr>
              <w:spacing w:line="520" w:lineRule="exact"/>
              <w:ind w:left="42" w:leftChars="20" w:right="42" w:rightChars="20"/>
              <w:rPr>
                <w:rFonts w:ascii="仿宋" w:hAnsi="仿宋" w:eastAsia="仿宋"/>
                <w:sz w:val="28"/>
                <w:szCs w:val="28"/>
              </w:rPr>
            </w:pPr>
            <w:r>
              <w:rPr>
                <w:rFonts w:hint="eastAsia" w:ascii="仿宋" w:hAnsi="仿宋" w:eastAsia="仿宋"/>
                <w:sz w:val="28"/>
                <w:szCs w:val="28"/>
              </w:rPr>
              <w:t>5）成交供应商应提供维保人员名单、联系电话</w:t>
            </w:r>
            <w:r>
              <w:rPr>
                <w:rFonts w:hint="eastAsia" w:ascii="仿宋" w:hAnsi="仿宋" w:eastAsia="仿宋"/>
                <w:b/>
                <w:sz w:val="28"/>
                <w:szCs w:val="28"/>
              </w:rPr>
              <w:t>（响应文件提供具体信息）</w:t>
            </w:r>
            <w:r>
              <w:rPr>
                <w:rFonts w:hint="eastAsia" w:ascii="仿宋" w:hAnsi="仿宋" w:eastAsia="仿宋"/>
                <w:sz w:val="28"/>
                <w:szCs w:val="28"/>
              </w:rPr>
              <w:t>。</w:t>
            </w:r>
          </w:p>
        </w:tc>
      </w:tr>
    </w:tbl>
    <w:p>
      <w:pPr>
        <w:pStyle w:val="4"/>
        <w:jc w:val="both"/>
        <w:rPr>
          <w:rFonts w:ascii="仿宋" w:hAnsi="仿宋" w:eastAsia="仿宋"/>
          <w:sz w:val="28"/>
          <w:szCs w:val="28"/>
        </w:rPr>
      </w:pPr>
      <w:r>
        <w:rPr>
          <w:rFonts w:hint="eastAsia" w:ascii="仿宋" w:hAnsi="仿宋" w:eastAsia="仿宋"/>
          <w:sz w:val="28"/>
          <w:szCs w:val="28"/>
        </w:rPr>
        <w:t>注：以上商务条款为必须满足项，否则作无效投标处理。</w:t>
      </w:r>
    </w:p>
    <w:p>
      <w:pPr>
        <w:widowControl/>
        <w:jc w:val="left"/>
        <w:rPr>
          <w:rFonts w:ascii="仿宋" w:hAnsi="仿宋" w:eastAsia="仿宋"/>
          <w:b/>
          <w:bCs/>
          <w:kern w:val="0"/>
          <w:sz w:val="28"/>
          <w:szCs w:val="28"/>
        </w:rPr>
      </w:pPr>
      <w:r>
        <w:rPr>
          <w:rFonts w:ascii="仿宋" w:hAnsi="仿宋" w:eastAsia="仿宋"/>
          <w:sz w:val="28"/>
          <w:szCs w:val="28"/>
        </w:rPr>
        <w:br w:type="page"/>
      </w:r>
    </w:p>
    <w:p>
      <w:pPr>
        <w:pStyle w:val="4"/>
        <w:spacing w:before="0" w:after="0" w:line="450" w:lineRule="exact"/>
        <w:rPr>
          <w:rFonts w:ascii="仿宋" w:hAnsi="仿宋" w:eastAsia="仿宋"/>
          <w:sz w:val="28"/>
          <w:szCs w:val="28"/>
        </w:rPr>
      </w:pPr>
      <w:r>
        <w:rPr>
          <w:rFonts w:hint="eastAsia" w:ascii="仿宋" w:hAnsi="仿宋" w:eastAsia="仿宋"/>
          <w:sz w:val="28"/>
          <w:szCs w:val="28"/>
        </w:rPr>
        <w:t>二、</w:t>
      </w:r>
      <w:bookmarkEnd w:id="16"/>
      <w:bookmarkEnd w:id="17"/>
      <w:r>
        <w:rPr>
          <w:rFonts w:hint="eastAsia" w:ascii="仿宋" w:hAnsi="仿宋" w:eastAsia="仿宋"/>
          <w:sz w:val="28"/>
          <w:szCs w:val="28"/>
        </w:rPr>
        <w:t>技术要求</w:t>
      </w:r>
      <w:bookmarkEnd w:id="2"/>
      <w:bookmarkEnd w:id="3"/>
      <w:bookmarkEnd w:id="4"/>
      <w:bookmarkEnd w:id="5"/>
      <w:bookmarkEnd w:id="6"/>
      <w:bookmarkEnd w:id="7"/>
      <w:bookmarkEnd w:id="8"/>
      <w:bookmarkEnd w:id="9"/>
      <w:bookmarkEnd w:id="10"/>
      <w:bookmarkEnd w:id="18"/>
      <w:bookmarkEnd w:id="19"/>
    </w:p>
    <w:p>
      <w:pPr>
        <w:pStyle w:val="8"/>
        <w:spacing w:line="450" w:lineRule="exact"/>
        <w:ind w:right="57"/>
        <w:rPr>
          <w:rFonts w:ascii="仿宋" w:hAnsi="仿宋" w:eastAsia="仿宋"/>
          <w:b/>
          <w:bCs/>
          <w:sz w:val="28"/>
          <w:szCs w:val="28"/>
          <w:lang w:eastAsia="zh-CN"/>
        </w:rPr>
      </w:pPr>
      <w:r>
        <w:rPr>
          <w:rFonts w:hint="eastAsia" w:ascii="仿宋" w:hAnsi="仿宋" w:eastAsia="仿宋"/>
          <w:b/>
          <w:bCs/>
          <w:sz w:val="28"/>
          <w:szCs w:val="28"/>
          <w:lang w:eastAsia="zh-CN"/>
        </w:rPr>
        <w:t>（一）采购清单</w:t>
      </w:r>
    </w:p>
    <w:tbl>
      <w:tblPr>
        <w:tblStyle w:val="6"/>
        <w:tblW w:w="4859" w:type="pct"/>
        <w:jc w:val="center"/>
        <w:tblLayout w:type="autofit"/>
        <w:tblCellMar>
          <w:top w:w="0" w:type="dxa"/>
          <w:left w:w="108" w:type="dxa"/>
          <w:bottom w:w="0" w:type="dxa"/>
          <w:right w:w="108" w:type="dxa"/>
        </w:tblCellMar>
      </w:tblPr>
      <w:tblGrid>
        <w:gridCol w:w="1553"/>
        <w:gridCol w:w="4207"/>
        <w:gridCol w:w="2092"/>
        <w:gridCol w:w="496"/>
      </w:tblGrid>
      <w:tr>
        <w:tblPrEx>
          <w:tblCellMar>
            <w:top w:w="0" w:type="dxa"/>
            <w:left w:w="108" w:type="dxa"/>
            <w:bottom w:w="0" w:type="dxa"/>
            <w:right w:w="108" w:type="dxa"/>
          </w:tblCellMar>
        </w:tblPrEx>
        <w:trPr>
          <w:trHeight w:val="270" w:hRule="atLeast"/>
          <w:jc w:val="center"/>
        </w:trPr>
        <w:tc>
          <w:tcPr>
            <w:tcW w:w="802"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72"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08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944"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r>
      <w:tr>
        <w:tblPrEx>
          <w:tblCellMar>
            <w:top w:w="0" w:type="dxa"/>
            <w:left w:w="108" w:type="dxa"/>
            <w:bottom w:w="0" w:type="dxa"/>
            <w:right w:w="108" w:type="dxa"/>
          </w:tblCellMar>
        </w:tblPrEx>
        <w:trPr>
          <w:trHeight w:val="531" w:hRule="atLeast"/>
          <w:jc w:val="center"/>
        </w:trPr>
        <w:tc>
          <w:tcPr>
            <w:tcW w:w="1553"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207"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双目热成像测温门</w:t>
            </w:r>
          </w:p>
        </w:tc>
        <w:tc>
          <w:tcPr>
            <w:tcW w:w="209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台</w:t>
            </w:r>
          </w:p>
        </w:tc>
      </w:tr>
      <w:tr>
        <w:tblPrEx>
          <w:tblCellMar>
            <w:top w:w="0" w:type="dxa"/>
            <w:left w:w="108" w:type="dxa"/>
            <w:bottom w:w="0" w:type="dxa"/>
            <w:right w:w="108" w:type="dxa"/>
          </w:tblCellMar>
        </w:tblPrEx>
        <w:trPr>
          <w:trHeight w:val="531" w:hRule="atLeast"/>
          <w:jc w:val="center"/>
        </w:trPr>
        <w:tc>
          <w:tcPr>
            <w:tcW w:w="1553"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4207"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压力蒸汽灭菌器</w:t>
            </w:r>
          </w:p>
        </w:tc>
        <w:tc>
          <w:tcPr>
            <w:tcW w:w="209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r>
    </w:tbl>
    <w:p>
      <w:pPr>
        <w:pStyle w:val="8"/>
        <w:spacing w:line="460" w:lineRule="exact"/>
        <w:ind w:right="57"/>
        <w:rPr>
          <w:rFonts w:ascii="仿宋" w:hAnsi="仿宋" w:eastAsia="仿宋" w:cs="宋体"/>
          <w:sz w:val="28"/>
          <w:szCs w:val="24"/>
          <w:highlight w:val="white"/>
          <w:lang w:eastAsia="zh-CN"/>
        </w:rPr>
      </w:pPr>
    </w:p>
    <w:p>
      <w:pPr>
        <w:pStyle w:val="5"/>
        <w:ind w:left="0" w:leftChars="0" w:firstLine="0" w:firstLineChars="0"/>
        <w:rPr>
          <w:rFonts w:hint="eastAsia" w:ascii="仿宋" w:hAnsi="仿宋" w:eastAsia="仿宋"/>
          <w:b/>
          <w:sz w:val="28"/>
          <w:szCs w:val="28"/>
        </w:rPr>
      </w:pPr>
      <w:r>
        <w:rPr>
          <w:rFonts w:hint="eastAsia" w:ascii="仿宋" w:hAnsi="仿宋" w:eastAsia="仿宋"/>
          <w:b/>
          <w:sz w:val="28"/>
          <w:szCs w:val="28"/>
        </w:rPr>
        <w:t>二、详细技术需求</w:t>
      </w:r>
    </w:p>
    <w:tbl>
      <w:tblPr>
        <w:tblStyle w:val="6"/>
        <w:tblW w:w="5100" w:type="pct"/>
        <w:tblInd w:w="0" w:type="dxa"/>
        <w:tblLayout w:type="autofit"/>
        <w:tblCellMar>
          <w:top w:w="0" w:type="dxa"/>
          <w:left w:w="10" w:type="dxa"/>
          <w:bottom w:w="0" w:type="dxa"/>
          <w:right w:w="10" w:type="dxa"/>
        </w:tblCellMar>
      </w:tblPr>
      <w:tblGrid>
        <w:gridCol w:w="1897"/>
        <w:gridCol w:w="6596"/>
      </w:tblGrid>
      <w:tr>
        <w:tblPrEx>
          <w:tblCellMar>
            <w:top w:w="0" w:type="dxa"/>
            <w:left w:w="10" w:type="dxa"/>
            <w:bottom w:w="0" w:type="dxa"/>
            <w:right w:w="10" w:type="dxa"/>
          </w:tblCellMar>
        </w:tblPrEx>
        <w:trPr>
          <w:trHeight w:val="432" w:hRule="exact"/>
        </w:trPr>
        <w:tc>
          <w:tcPr>
            <w:tcW w:w="5000" w:type="pct"/>
            <w:gridSpan w:val="2"/>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双目热成像测温门</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分辨率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256</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192</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像源间距</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17um</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镜头</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3.6mm（±1%）</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敏感度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&lt;60mk</w:t>
            </w:r>
          </w:p>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视场角</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r>
              <w:rPr>
                <w:rFonts w:hint="eastAsia" w:ascii="仿宋" w:hAnsi="仿宋" w:eastAsia="仿宋" w:cs="仿宋"/>
                <w:sz w:val="28"/>
                <w:szCs w:val="28"/>
                <w:lang w:val="en-US" w:eastAsia="en-US"/>
              </w:rPr>
              <w:t>°</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27</w:t>
            </w:r>
            <w:r>
              <w:rPr>
                <w:rFonts w:hint="eastAsia" w:ascii="仿宋" w:hAnsi="仿宋" w:eastAsia="仿宋" w:cs="仿宋"/>
                <w:sz w:val="28"/>
                <w:szCs w:val="28"/>
                <w:lang w:val="en-US" w:eastAsia="en-US"/>
              </w:rPr>
              <w:t>°</w:t>
            </w:r>
            <w:r>
              <w:rPr>
                <w:rFonts w:hint="eastAsia" w:ascii="仿宋" w:hAnsi="仿宋" w:eastAsia="仿宋" w:cs="仿宋"/>
                <w:sz w:val="28"/>
                <w:szCs w:val="28"/>
                <w:lang w:val="en-US" w:eastAsia="zh-CN"/>
              </w:rPr>
              <w:t>(HXV)</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传感器</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1/2.8COMS</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分辨率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1920</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1080</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镜头大小</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4mm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84</w:t>
            </w:r>
            <w:r>
              <w:rPr>
                <w:rFonts w:hint="eastAsia" w:ascii="仿宋" w:hAnsi="仿宋" w:eastAsia="仿宋" w:cs="仿宋"/>
                <w:sz w:val="28"/>
                <w:szCs w:val="28"/>
                <w:lang w:val="en-US" w:eastAsia="en-US"/>
              </w:rPr>
              <w:t>°</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45</w:t>
            </w:r>
            <w:r>
              <w:rPr>
                <w:rFonts w:hint="eastAsia" w:ascii="仿宋" w:hAnsi="仿宋" w:eastAsia="仿宋" w:cs="仿宋"/>
                <w:sz w:val="28"/>
                <w:szCs w:val="28"/>
                <w:lang w:val="en-US" w:eastAsia="en-US"/>
              </w:rPr>
              <w:t>°</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280mm</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85mm</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75mm</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精度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en-US"/>
              </w:rPr>
              <w:t>±0.</w:t>
            </w: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°C</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报警温度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可设置</w:t>
            </w:r>
          </w:p>
        </w:tc>
      </w:tr>
      <w:tr>
        <w:tblPrEx>
          <w:tblCellMar>
            <w:top w:w="0" w:type="dxa"/>
            <w:left w:w="10" w:type="dxa"/>
            <w:bottom w:w="0" w:type="dxa"/>
            <w:right w:w="10" w:type="dxa"/>
          </w:tblCellMar>
        </w:tblPrEx>
        <w:trPr>
          <w:trHeight w:val="454" w:hRule="exact"/>
        </w:trPr>
        <w:tc>
          <w:tcPr>
            <w:tcW w:w="5000" w:type="pct"/>
            <w:gridSpan w:val="2"/>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压力蒸汽灭菌器</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容积</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不小于</w:t>
            </w:r>
            <w:r>
              <w:rPr>
                <w:rFonts w:hint="eastAsia" w:ascii="仿宋" w:hAnsi="仿宋" w:eastAsia="仿宋" w:cs="仿宋"/>
                <w:sz w:val="28"/>
                <w:szCs w:val="28"/>
                <w:lang w:eastAsia="zh-CN"/>
              </w:rPr>
              <w:t>50L</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灭菌器内腔尺寸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φ386mm*515mm（直径*锅深）</w:t>
            </w:r>
            <w:r>
              <w:rPr>
                <w:rFonts w:hint="eastAsia" w:ascii="仿宋" w:hAnsi="仿宋" w:eastAsia="仿宋" w:cs="仿宋"/>
                <w:sz w:val="28"/>
                <w:szCs w:val="28"/>
                <w:highlight w:val="none"/>
                <w:lang w:val="en-US" w:eastAsia="zh-CN"/>
              </w:rPr>
              <w:t>（±1%）</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灭菌器外形尺寸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550mm*640mm*970mm（长*宽*高）</w:t>
            </w:r>
            <w:r>
              <w:rPr>
                <w:rFonts w:hint="eastAsia" w:ascii="仿宋" w:hAnsi="仿宋" w:eastAsia="仿宋" w:cs="仿宋"/>
                <w:sz w:val="28"/>
                <w:szCs w:val="28"/>
                <w:highlight w:val="none"/>
                <w:lang w:val="en-US" w:eastAsia="zh-CN"/>
              </w:rPr>
              <w:t>（±1%）</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包装外形尺寸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750mm*745mm*1100mm（长*宽*高）</w:t>
            </w:r>
            <w:r>
              <w:rPr>
                <w:rFonts w:hint="eastAsia" w:ascii="仿宋" w:hAnsi="仿宋" w:eastAsia="仿宋" w:cs="仿宋"/>
                <w:sz w:val="28"/>
                <w:szCs w:val="28"/>
                <w:highlight w:val="none"/>
                <w:lang w:val="en-US" w:eastAsia="zh-CN"/>
              </w:rPr>
              <w:t>（±1%）</w:t>
            </w:r>
          </w:p>
        </w:tc>
      </w:tr>
      <w:tr>
        <w:tblPrEx>
          <w:tblCellMar>
            <w:top w:w="0" w:type="dxa"/>
            <w:left w:w="10" w:type="dxa"/>
            <w:bottom w:w="0" w:type="dxa"/>
            <w:right w:w="10" w:type="dxa"/>
          </w:tblCellMar>
        </w:tblPrEx>
        <w:trPr>
          <w:trHeight w:val="72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功       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en-US"/>
              </w:rPr>
              <w:t>≥</w:t>
            </w:r>
            <w:r>
              <w:rPr>
                <w:rFonts w:hint="eastAsia" w:ascii="仿宋" w:hAnsi="仿宋" w:eastAsia="仿宋" w:cs="仿宋"/>
                <w:sz w:val="28"/>
                <w:szCs w:val="28"/>
                <w:lang w:eastAsia="zh-CN"/>
              </w:rPr>
              <w:t>4.4KW</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电       源</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220V/50HZ</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121℃/134℃</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设计压力</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0.28Mpa</w:t>
            </w:r>
          </w:p>
          <w:p>
            <w:pPr>
              <w:spacing w:line="460" w:lineRule="exact"/>
              <w:jc w:val="center"/>
              <w:rPr>
                <w:rFonts w:hint="eastAsia" w:ascii="仿宋" w:hAnsi="仿宋" w:eastAsia="仿宋" w:cs="仿宋"/>
                <w:sz w:val="28"/>
                <w:szCs w:val="28"/>
                <w:lang w:eastAsia="zh-CN"/>
              </w:rPr>
            </w:pP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环境温度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5-40℃</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腔体材质</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SUS304不锈钢</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相对湿度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不大于85%</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水源要求</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蒸馏水</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bottom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选配</w:t>
            </w:r>
          </w:p>
        </w:tc>
        <w:tc>
          <w:tcPr>
            <w:tcW w:w="3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可选配消毒桶</w:t>
            </w:r>
          </w:p>
        </w:tc>
      </w:tr>
    </w:tbl>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9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jc w:val="center"/>
      <w:textAlignment w:val="baseline"/>
    </w:pPr>
    <w:rPr>
      <w:rFonts w:asciiTheme="minorHAnsi" w:hAnsiTheme="minorHAnsi" w:eastAsiaTheme="minorEastAsia"/>
      <w:sz w:val="24"/>
      <w:szCs w:val="24"/>
    </w:rPr>
  </w:style>
  <w:style w:type="paragraph" w:styleId="5">
    <w:name w:val="Normal Indent"/>
    <w:basedOn w:val="1"/>
    <w:qFormat/>
    <w:uiPriority w:val="0"/>
    <w:pPr>
      <w:widowControl/>
      <w:ind w:firstLine="420"/>
      <w:jc w:val="left"/>
    </w:pPr>
    <w:rPr>
      <w:kern w:val="0"/>
      <w:sz w:val="20"/>
      <w:szCs w:val="20"/>
    </w:rPr>
  </w:style>
  <w:style w:type="paragraph" w:customStyle="1" w:styleId="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2020-12-17T07:28:31Z</dcterms:created>
  <dc:creator>Administrator</dc:creator>
  <cp:lastModifiedBy>Pm</cp:lastModifiedBy>
  <dcterms:modified xsi:type="dcterms:W3CDTF">2020-12-17T07:28:38Z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