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1"/>
        </w:numPr>
        <w:spacing w:before="0" w:after="0" w:line="460" w:lineRule="exact"/>
        <w:jc w:val="center"/>
        <w:rPr>
          <w:rFonts w:hint="eastAsia" w:ascii="仿宋" w:hAnsi="仿宋" w:eastAsia="仿宋" w:cs="宋体"/>
          <w:sz w:val="28"/>
          <w:szCs w:val="28"/>
        </w:rPr>
      </w:pPr>
      <w:bookmarkStart w:id="0" w:name="_Toc36306197"/>
      <w:bookmarkStart w:id="1" w:name="_Toc463071336"/>
      <w:bookmarkStart w:id="2" w:name="_Toc416813470"/>
      <w:r>
        <w:rPr>
          <w:rFonts w:hint="eastAsia" w:ascii="仿宋" w:hAnsi="仿宋" w:eastAsia="仿宋" w:cs="宋体"/>
          <w:sz w:val="28"/>
          <w:szCs w:val="28"/>
        </w:rPr>
        <w:t>谈判项目要求</w:t>
      </w:r>
      <w:bookmarkEnd w:id="0"/>
      <w:bookmarkEnd w:id="1"/>
      <w:bookmarkEnd w:id="2"/>
      <w:bookmarkStart w:id="3" w:name="_Toc400972927"/>
      <w:bookmarkStart w:id="4" w:name="_Toc390256503"/>
    </w:p>
    <w:p>
      <w:pPr>
        <w:rPr>
          <w:rFonts w:hint="eastAsia"/>
        </w:rPr>
      </w:pPr>
    </w:p>
    <w:p>
      <w:pPr>
        <w:pStyle w:val="4"/>
        <w:tabs>
          <w:tab w:val="left" w:pos="6090"/>
        </w:tabs>
        <w:spacing w:before="0" w:after="0" w:line="460" w:lineRule="exact"/>
        <w:rPr>
          <w:rFonts w:hint="eastAsia" w:ascii="仿宋" w:hAnsi="仿宋" w:eastAsia="仿宋" w:cs="宋体"/>
          <w:bCs w:val="0"/>
          <w:sz w:val="28"/>
          <w:szCs w:val="28"/>
        </w:rPr>
      </w:pPr>
      <w:bookmarkStart w:id="5" w:name="_Toc405281548"/>
      <w:bookmarkStart w:id="6" w:name="_Toc36306198"/>
      <w:bookmarkStart w:id="7" w:name="_Toc435611221"/>
      <w:bookmarkStart w:id="8" w:name="_Toc416813471"/>
      <w:r>
        <w:rPr>
          <w:rFonts w:hint="eastAsia" w:ascii="仿宋" w:hAnsi="仿宋" w:eastAsia="仿宋" w:cs="宋体"/>
          <w:bCs w:val="0"/>
          <w:sz w:val="28"/>
          <w:szCs w:val="28"/>
        </w:rPr>
        <w:t>第一章 谈判项目商务要求</w:t>
      </w:r>
      <w:bookmarkEnd w:id="3"/>
      <w:bookmarkEnd w:id="4"/>
      <w:bookmarkEnd w:id="5"/>
      <w:bookmarkEnd w:id="6"/>
      <w:bookmarkEnd w:id="7"/>
      <w:bookmarkEnd w:id="8"/>
    </w:p>
    <w:tbl>
      <w:tblPr>
        <w:tblStyle w:val="6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4"/>
        <w:gridCol w:w="1560"/>
        <w:gridCol w:w="6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tblCellSpacing w:w="0" w:type="dxa"/>
          <w:jc w:val="center"/>
        </w:trPr>
        <w:tc>
          <w:tcPr>
            <w:tcW w:w="734" w:type="dxa"/>
            <w:shd w:val="clear" w:color="auto" w:fill="EEEEE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序号</w:t>
            </w:r>
          </w:p>
        </w:tc>
        <w:tc>
          <w:tcPr>
            <w:tcW w:w="1560" w:type="dxa"/>
            <w:shd w:val="clear" w:color="auto" w:fill="EEEEE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需求名称</w:t>
            </w:r>
          </w:p>
        </w:tc>
        <w:tc>
          <w:tcPr>
            <w:tcW w:w="6744" w:type="dxa"/>
            <w:shd w:val="clear" w:color="auto" w:fill="EEEEE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需求说明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tblCellSpacing w:w="0" w:type="dxa"/>
          <w:jc w:val="center"/>
        </w:trPr>
        <w:tc>
          <w:tcPr>
            <w:tcW w:w="7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服务地点</w:t>
            </w:r>
          </w:p>
        </w:tc>
        <w:tc>
          <w:tcPr>
            <w:tcW w:w="6744" w:type="dxa"/>
            <w:noWrap w:val="0"/>
            <w:vAlign w:val="center"/>
          </w:tcPr>
          <w:p>
            <w:pPr>
              <w:spacing w:line="460" w:lineRule="exact"/>
              <w:ind w:left="53" w:leftChars="25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tblCellSpacing w:w="0" w:type="dxa"/>
          <w:jc w:val="center"/>
        </w:trPr>
        <w:tc>
          <w:tcPr>
            <w:tcW w:w="734" w:type="dxa"/>
            <w:noWrap w:val="0"/>
            <w:vAlign w:val="center"/>
          </w:tcPr>
          <w:p>
            <w:pPr>
              <w:spacing w:line="460" w:lineRule="exact"/>
              <w:ind w:firstLine="280" w:firstLineChars="100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2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服务期限</w:t>
            </w:r>
          </w:p>
        </w:tc>
        <w:tc>
          <w:tcPr>
            <w:tcW w:w="6744" w:type="dxa"/>
            <w:noWrap w:val="0"/>
            <w:vAlign w:val="center"/>
          </w:tcPr>
          <w:p>
            <w:pPr>
              <w:spacing w:line="460" w:lineRule="exact"/>
              <w:ind w:left="53" w:leftChars="25"/>
              <w:rPr>
                <w:rFonts w:hint="eastAsia"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合同签订后的30日内完成设计服务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tblCellSpacing w:w="0" w:type="dxa"/>
          <w:jc w:val="center"/>
        </w:trPr>
        <w:tc>
          <w:tcPr>
            <w:tcW w:w="7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3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付款方式</w:t>
            </w:r>
          </w:p>
        </w:tc>
        <w:tc>
          <w:tcPr>
            <w:tcW w:w="6744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val="en-US" w:eastAsia="zh-CN"/>
              </w:rPr>
              <w:t>供应商提交服务成果并满足采购人要求，即为交付完成。</w:t>
            </w:r>
          </w:p>
          <w:p>
            <w:pPr>
              <w:spacing w:line="460" w:lineRule="exact"/>
              <w:rPr>
                <w:rFonts w:hint="eastAsia"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val="en-US" w:eastAsia="zh-CN"/>
              </w:rPr>
              <w:t>项目交付完成后，由供应商向采购人书面付款申请后，采购人按合同金额一次性付清全款。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3" w:hRule="atLeast"/>
          <w:tblCellSpacing w:w="0" w:type="dxa"/>
          <w:jc w:val="center"/>
        </w:trPr>
        <w:tc>
          <w:tcPr>
            <w:tcW w:w="7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4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报价方式</w:t>
            </w:r>
          </w:p>
        </w:tc>
        <w:tc>
          <w:tcPr>
            <w:tcW w:w="6744" w:type="dxa"/>
            <w:noWrap w:val="0"/>
            <w:vAlign w:val="center"/>
          </w:tcPr>
          <w:p>
            <w:pPr>
              <w:spacing w:line="460" w:lineRule="exact"/>
              <w:jc w:val="left"/>
              <w:outlineLvl w:val="1"/>
              <w:rPr>
                <w:rFonts w:hint="eastAsia"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以人民币报价，报价包括供应商完成服务的所有费用，包括且不限于：技术服务费、材料费、人工费、交通费、通讯费、保险费、各项税费、采购代理服务费及合同实施过程中不可预见费用等。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3" w:hRule="atLeast"/>
          <w:tblCellSpacing w:w="0" w:type="dxa"/>
          <w:jc w:val="center"/>
        </w:trPr>
        <w:tc>
          <w:tcPr>
            <w:tcW w:w="7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黑体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highlight w:val="none"/>
              </w:rPr>
              <w:t>提交的成果</w:t>
            </w:r>
          </w:p>
        </w:tc>
        <w:tc>
          <w:tcPr>
            <w:tcW w:w="674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仿宋" w:hAnsi="仿宋" w:eastAsia="仿宋" w:cs="黑体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ascii="仿宋" w:hAnsi="仿宋" w:eastAsia="仿宋" w:cs="黑体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黑体"/>
                <w:sz w:val="28"/>
                <w:szCs w:val="28"/>
                <w:highlight w:val="none"/>
                <w:lang w:val="en-US" w:eastAsia="zh-CN"/>
              </w:rPr>
              <w:t>提交的成果由采购人以及专家小组进行论证</w:t>
            </w:r>
            <w:r>
              <w:rPr>
                <w:rFonts w:hint="eastAsia" w:ascii="仿宋" w:hAnsi="仿宋" w:eastAsia="仿宋" w:cs="黑体"/>
                <w:sz w:val="28"/>
                <w:szCs w:val="28"/>
                <w:highlight w:val="none"/>
              </w:rPr>
              <w:t>。</w:t>
            </w:r>
            <w:r>
              <w:rPr>
                <w:rFonts w:hint="eastAsia" w:ascii="仿宋" w:hAnsi="仿宋" w:eastAsia="仿宋" w:cs="黑体"/>
                <w:sz w:val="28"/>
                <w:szCs w:val="28"/>
                <w:highlight w:val="none"/>
                <w:lang w:val="en-US" w:eastAsia="zh-CN"/>
              </w:rPr>
              <w:t>供应商须根据论证内容修改，直至采购人认可。</w:t>
            </w:r>
          </w:p>
        </w:tc>
      </w:tr>
    </w:tbl>
    <w:p>
      <w:pPr>
        <w:pStyle w:val="4"/>
        <w:numPr>
          <w:ilvl w:val="0"/>
          <w:numId w:val="2"/>
        </w:numPr>
        <w:tabs>
          <w:tab w:val="left" w:pos="6090"/>
        </w:tabs>
        <w:spacing w:before="0" w:after="0" w:line="460" w:lineRule="exact"/>
        <w:rPr>
          <w:rFonts w:hint="eastAsia" w:ascii="仿宋" w:hAnsi="仿宋" w:eastAsia="仿宋" w:cs="宋体"/>
          <w:bCs w:val="0"/>
          <w:sz w:val="28"/>
          <w:szCs w:val="28"/>
        </w:rPr>
      </w:pPr>
      <w:bookmarkStart w:id="9" w:name="_Toc400972928"/>
      <w:bookmarkStart w:id="10" w:name="_Toc405281549"/>
      <w:bookmarkStart w:id="11" w:name="_Toc435611222"/>
      <w:bookmarkStart w:id="12" w:name="_Toc535299945"/>
      <w:bookmarkStart w:id="13" w:name="_Toc416813472"/>
      <w:bookmarkStart w:id="14" w:name="_Toc390256504"/>
      <w:bookmarkStart w:id="15" w:name="_Toc229476972"/>
      <w:r>
        <w:rPr>
          <w:rFonts w:ascii="仿宋" w:hAnsi="仿宋" w:eastAsia="仿宋" w:cs="宋体"/>
          <w:bCs w:val="0"/>
          <w:sz w:val="28"/>
          <w:szCs w:val="28"/>
        </w:rPr>
        <w:br w:type="page"/>
      </w:r>
      <w:bookmarkStart w:id="16" w:name="_Toc36306199"/>
      <w:r>
        <w:rPr>
          <w:rFonts w:hint="eastAsia" w:ascii="仿宋" w:hAnsi="仿宋" w:eastAsia="仿宋" w:cs="宋体"/>
          <w:bCs w:val="0"/>
          <w:sz w:val="28"/>
          <w:szCs w:val="28"/>
        </w:rPr>
        <w:t>谈判项目技术要求</w:t>
      </w:r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hint="eastAsia" w:ascii="仿宋" w:hAnsi="仿宋" w:eastAsia="仿宋" w:cs="宋体"/>
          <w:bCs w:val="0"/>
          <w:sz w:val="28"/>
          <w:szCs w:val="28"/>
        </w:rPr>
        <w:t>（服务需求）</w:t>
      </w:r>
      <w:bookmarkEnd w:id="16"/>
    </w:p>
    <w:p>
      <w:pPr>
        <w:pStyle w:val="5"/>
        <w:ind w:firstLine="0"/>
      </w:pPr>
    </w:p>
    <w:p>
      <w:pPr>
        <w:pStyle w:val="5"/>
        <w:spacing w:line="6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为了更好的推进新建区智慧平安小区项目建设，确保建设标准完全满足《南昌市智慧平安小区建设指导标准》，同时为了保证本次智慧平安小区建设方案更加规范合理，具备技术先进性和系统兼容性，建议委托专业设计公司对新建区智慧平安小区方案进行深化设计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5"/>
        <w:spacing w:line="640" w:lineRule="exact"/>
        <w:rPr>
          <w:rFonts w:hint="eastAsia" w:ascii="仿宋" w:hAnsi="仿宋" w:eastAsia="仿宋"/>
          <w:sz w:val="28"/>
          <w:szCs w:val="28"/>
        </w:rPr>
      </w:pPr>
    </w:p>
    <w:p>
      <w:pPr>
        <w:pStyle w:val="5"/>
        <w:spacing w:line="6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本期建设主要建设内容包括三大块：</w:t>
      </w:r>
    </w:p>
    <w:p>
      <w:pPr>
        <w:pStyle w:val="5"/>
        <w:spacing w:line="6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县（区）级智慧社区专网平台主要包括数据中心功能模块，并通过安全边界与小区管控平台对接，实现对本区（县）智慧平安小区的集中管控，并因地制宜开发特色应用，满足各类场景的不同需求。区（县）级智慧平安小区平台功能应符合以下要求：</w:t>
      </w:r>
    </w:p>
    <w:p>
      <w:pPr>
        <w:pStyle w:val="5"/>
        <w:spacing w:line="6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1.人口管理：对接入小区的人员进行统一管理，建立一人一档，通过人脸数据、门禁数据等进行数据关联，区分常住、租住、访客等类型，可对人员完成标签化建模。 </w:t>
      </w:r>
    </w:p>
    <w:p>
      <w:pPr>
        <w:pStyle w:val="5"/>
        <w:spacing w:line="6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2.车辆管理：建立一车一档，通过车辆道闸、车牌识别等数据建立车辆数据关联，实现车辆查询、车辆布控、轨迹分析、车辆模糊检索及对车辆分析研判等功能。</w:t>
      </w:r>
    </w:p>
    <w:p>
      <w:pPr>
        <w:pStyle w:val="5"/>
        <w:spacing w:line="6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3.房屋管理：建立一屋一档，对接入小区房屋进行分类标注，区分出租、已住、空置等类型，对房屋进行动态标签化管理。</w:t>
      </w:r>
    </w:p>
    <w:p>
      <w:pPr>
        <w:pStyle w:val="5"/>
        <w:spacing w:line="6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4.单位管理：对小区内的单位信息进行标注，掌握经营运行情况，对单位进行动态管理。</w:t>
      </w:r>
    </w:p>
    <w:p>
      <w:pPr>
        <w:pStyle w:val="5"/>
        <w:spacing w:line="6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5.视频监控管理：能对小区内视频监控设备进行集中统一管理，可调阅实时视频，调取保存期限内的录像，并为相关应用提供视频数据支撑。</w:t>
      </w:r>
    </w:p>
    <w:p>
      <w:pPr>
        <w:pStyle w:val="5"/>
        <w:spacing w:line="6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7.小区管理：建立一区一档，依托平台，具备对接入小区进行统一管理能力，能够实现相关数据的自动采集、自动更新、高效获取，通过获取的多维动态数据，生成各小区的动态档案信息。</w:t>
      </w:r>
    </w:p>
    <w:p>
      <w:pPr>
        <w:pStyle w:val="5"/>
        <w:spacing w:line="6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8.无线数据管理：通过小区安装的电子数据多维采集设备，能够获取各小区采集的相关数据信息。</w:t>
      </w:r>
    </w:p>
    <w:p>
      <w:pPr>
        <w:pStyle w:val="5"/>
        <w:spacing w:line="6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9.文明城市管理：通过小区安装的电子数据多维采集设备，针对社区周边乱摆摊、违规晾晒、乱倒垃圾等不文明行为形成实时预警。</w:t>
      </w:r>
    </w:p>
    <w:p>
      <w:pPr>
        <w:pStyle w:val="5"/>
        <w:spacing w:line="6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.区（县）数据中心：平台能自动汇聚各小区获取的数据，形成一标三实、门禁、人脸、车辆、视频、图像等主题数据库，为开发各类应用提供数据支撑，并通过社区专网和安全设备接入，将数据实时推送至市级基础信息汇聚平台。</w:t>
      </w:r>
    </w:p>
    <w:p>
      <w:pPr>
        <w:pStyle w:val="5"/>
        <w:spacing w:line="6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11.社区警务应用：通过平台可进行数据采集上传，依托数据中心的各类数据，可提供包含人脸动态布控、抓拍检索、人脸分析、车辆布控、轨迹分析、报警记录及统计报表等功能，提供找人找车、管辖区域布控等服务。</w:t>
      </w:r>
    </w:p>
    <w:p>
      <w:pPr>
        <w:pStyle w:val="5"/>
        <w:spacing w:line="640" w:lineRule="exact"/>
        <w:rPr>
          <w:rFonts w:hint="eastAsia" w:ascii="仿宋" w:hAnsi="仿宋" w:eastAsia="仿宋"/>
          <w:sz w:val="28"/>
          <w:szCs w:val="28"/>
        </w:rPr>
      </w:pPr>
    </w:p>
    <w:p>
      <w:pPr>
        <w:pStyle w:val="5"/>
        <w:numPr>
          <w:ilvl w:val="0"/>
          <w:numId w:val="3"/>
        </w:numPr>
        <w:spacing w:line="640" w:lineRule="exact"/>
        <w:rPr>
          <w:rFonts w:hint="eastAsia" w:ascii="仿宋" w:hAnsi="仿宋" w:eastAsia="仿宋"/>
          <w:sz w:val="28"/>
          <w:szCs w:val="28"/>
        </w:rPr>
      </w:pPr>
      <w:bookmarkStart w:id="17" w:name="_Toc1892962581"/>
      <w:bookmarkStart w:id="18" w:name="_Toc1805654738"/>
      <w:bookmarkStart w:id="19" w:name="_Toc532290919"/>
      <w:bookmarkStart w:id="20" w:name="_Toc1012270096"/>
      <w:bookmarkStart w:id="21" w:name="_Toc1395353375"/>
      <w:r>
        <w:rPr>
          <w:rFonts w:hint="eastAsia" w:ascii="仿宋" w:hAnsi="仿宋" w:eastAsia="仿宋"/>
          <w:sz w:val="28"/>
          <w:szCs w:val="28"/>
        </w:rPr>
        <w:t>小区管控及物业应用</w:t>
      </w:r>
      <w:bookmarkEnd w:id="17"/>
      <w:bookmarkEnd w:id="18"/>
      <w:bookmarkEnd w:id="19"/>
      <w:bookmarkEnd w:id="20"/>
      <w:bookmarkEnd w:id="21"/>
      <w:r>
        <w:rPr>
          <w:rFonts w:hint="eastAsia" w:ascii="仿宋" w:hAnsi="仿宋" w:eastAsia="仿宋"/>
          <w:sz w:val="28"/>
          <w:szCs w:val="28"/>
        </w:rPr>
        <w:t>平台主要建设内容包括系统建立一区一档，依托平台，具备对接入小区进行统一管理能力，能够实现相关数据的自动采集、自动更新、高效获取，通过获取的多维动态数据，生成各小区的动态档案信息。以地图为展现基础，统计权限范围内小区数量、人口数量、车辆数量、安防设备数量和房屋数量，统计人流量分布规律和人员出入规律，展示最新的人脸、人体、车辆和门禁资源抓拍。且在地图上金可直观看到小区概况。</w:t>
      </w:r>
    </w:p>
    <w:p>
      <w:pPr>
        <w:pStyle w:val="5"/>
        <w:numPr>
          <w:ilvl w:val="0"/>
          <w:numId w:val="3"/>
        </w:numPr>
        <w:spacing w:line="6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小区配置清单</w:t>
      </w:r>
    </w:p>
    <w:tbl>
      <w:tblPr>
        <w:tblStyle w:val="6"/>
        <w:tblW w:w="5061" w:type="pct"/>
        <w:tblInd w:w="-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900"/>
        <w:gridCol w:w="947"/>
        <w:gridCol w:w="609"/>
        <w:gridCol w:w="435"/>
        <w:gridCol w:w="435"/>
        <w:gridCol w:w="427"/>
        <w:gridCol w:w="454"/>
        <w:gridCol w:w="554"/>
        <w:gridCol w:w="321"/>
        <w:gridCol w:w="401"/>
        <w:gridCol w:w="339"/>
        <w:gridCol w:w="304"/>
        <w:gridCol w:w="304"/>
        <w:gridCol w:w="304"/>
        <w:gridCol w:w="223"/>
        <w:gridCol w:w="314"/>
        <w:gridCol w:w="472"/>
        <w:gridCol w:w="2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  <w:t>新建区4</w:t>
            </w: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  <w:t>个小区智慧平安小区前端配置清单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9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14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</w:rPr>
              <w:t>小区信息</w:t>
            </w:r>
          </w:p>
        </w:tc>
        <w:tc>
          <w:tcPr>
            <w:tcW w:w="199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  <w:t>硬件配置</w:t>
            </w:r>
          </w:p>
        </w:tc>
        <w:tc>
          <w:tcPr>
            <w:tcW w:w="85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</w:rPr>
              <w:t>智慧设备</w:t>
            </w:r>
          </w:p>
        </w:tc>
        <w:tc>
          <w:tcPr>
            <w:tcW w:w="4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  <w:t>链路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4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4BD9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4BD9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  <w:lang w:bidi="ar"/>
              </w:rPr>
              <w:t>名 称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4BD9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  <w:lang w:bidi="ar"/>
              </w:rPr>
              <w:t>所属社区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4BD9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  <w:lang w:bidi="ar"/>
              </w:rPr>
              <w:t>户数</w:t>
            </w:r>
          </w:p>
        </w:tc>
        <w:tc>
          <w:tcPr>
            <w:tcW w:w="25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4BD9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  <w:lang w:bidi="ar"/>
              </w:rPr>
              <w:t>400万全结构化</w:t>
            </w:r>
          </w:p>
        </w:tc>
        <w:tc>
          <w:tcPr>
            <w:tcW w:w="25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4BD9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  <w:lang w:bidi="ar"/>
              </w:rPr>
              <w:t>200万人脸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4BD9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  <w:lang w:bidi="ar"/>
              </w:rPr>
              <w:t>200W智慧球机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4BD9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  <w:lang w:bidi="ar"/>
              </w:rPr>
              <w:t>周边可接入探头数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4BD9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  <w:lang w:bidi="ar"/>
              </w:rPr>
              <w:t>行人通道（含人脸门禁）</w:t>
            </w:r>
          </w:p>
        </w:tc>
        <w:tc>
          <w:tcPr>
            <w:tcW w:w="1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4BD9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  <w:lang w:bidi="ar"/>
              </w:rPr>
              <w:t>车辆道闸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4BD9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  <w:lang w:bidi="ar"/>
              </w:rPr>
              <w:t>音柱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4BD9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  <w:lang w:bidi="ar"/>
              </w:rPr>
              <w:t>高空抛物探头</w:t>
            </w:r>
          </w:p>
        </w:tc>
        <w:tc>
          <w:tcPr>
            <w:tcW w:w="18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4BD9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  <w:lang w:bidi="ar"/>
              </w:rPr>
              <w:t>智慧单元门</w:t>
            </w:r>
          </w:p>
        </w:tc>
        <w:tc>
          <w:tcPr>
            <w:tcW w:w="18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4BD9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  <w:lang w:bidi="ar"/>
              </w:rPr>
              <w:t>电子围栏</w:t>
            </w:r>
          </w:p>
        </w:tc>
        <w:tc>
          <w:tcPr>
            <w:tcW w:w="18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4BD9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  <w:lang w:bidi="ar"/>
              </w:rPr>
              <w:t>智慧充电桩</w:t>
            </w:r>
          </w:p>
        </w:tc>
        <w:tc>
          <w:tcPr>
            <w:tcW w:w="13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4BD9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  <w:lang w:bidi="ar"/>
              </w:rPr>
              <w:t>报警柱</w:t>
            </w:r>
          </w:p>
        </w:tc>
        <w:tc>
          <w:tcPr>
            <w:tcW w:w="18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4BD9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  <w:lang w:bidi="ar"/>
              </w:rPr>
              <w:t>智慧消防站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4BD9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  <w:lang w:bidi="ar"/>
              </w:rPr>
              <w:t>互联网</w:t>
            </w:r>
          </w:p>
        </w:tc>
        <w:tc>
          <w:tcPr>
            <w:tcW w:w="15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4BD9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  <w:lang w:bidi="ar"/>
              </w:rPr>
              <w:t>专线链路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人民医院宿舍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柘湖山居委会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化纤厂宿舍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柘湖山居委会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石油公司宿舍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柘湖山居委会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团结路电焊机厂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柘湖山居委会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食品厂小区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礼贤居委会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武装部宿舍（长堎镇政府对面）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凤凰山居委会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公安局宿舍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凤凰山居委会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丁子岭宿舍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凤凰山居委会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帝景花园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龙珠居委会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国税局宿舍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龙珠居委会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法院宿舍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花果山居委会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卫生局宿舍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花果山居委会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武装部宿舍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花果山居委会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花果山小区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花果山居委会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231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省二建宿舍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花果山居委会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廉租房小区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城开学苑居委会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839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万象广场住宅区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集贸居委会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832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明珠花园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集贸居委会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新风路小区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集贸居委会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新风巷小区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集贸居委会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育新路小区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集贸居委会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新民巷小区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集贸居委会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长征西路小区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集贸居委会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环湖路88号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湖畔家园居委会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建民巷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湖畔家园居委会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长寺庵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礼步村委会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长堎集贸社区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集贸居委会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610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兴国路住宅小区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莱卡社区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684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神舟对面住宅小区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前进村委会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712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工业五路住宅小区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郎晴园社区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486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前进花园一期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前进村委会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吾悦广场公寓楼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正大社区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462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幸福家园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广场社区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661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兴国路小区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北林社区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祥瑞花园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文教路社区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520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供电局家属区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文教路社区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255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地税局宿舍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自强社区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民政局宿舍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自强社区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宜合家园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文润社区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322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居之安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北林社区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266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豫章监狱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幸福里社区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272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未管所宿舍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锦华社区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232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宏浩小区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文峰社区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昌海公寓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广场社区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颐园小区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天兴和顺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丁家圩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友谊路小区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进修学校外围宿舍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外贸局宿舍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0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12333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871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1242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</w:tbl>
    <w:p>
      <w:pPr>
        <w:pStyle w:val="5"/>
        <w:ind w:firstLine="0"/>
        <w:jc w:val="both"/>
        <w:rPr>
          <w:rFonts w:hint="eastAsia" w:ascii="仿宋" w:hAnsi="仿宋" w:eastAsia="仿宋"/>
          <w:b/>
          <w:bCs/>
          <w:sz w:val="28"/>
          <w:szCs w:val="28"/>
        </w:rPr>
      </w:pPr>
    </w:p>
    <w:p>
      <w:bookmarkStart w:id="22" w:name="_GoBack"/>
      <w:bookmarkEnd w:id="2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9A9EFC"/>
    <w:multiLevelType w:val="singleLevel"/>
    <w:tmpl w:val="D99A9EFC"/>
    <w:lvl w:ilvl="0" w:tentative="0">
      <w:start w:val="3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DBA2B785"/>
    <w:multiLevelType w:val="singleLevel"/>
    <w:tmpl w:val="DBA2B78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2242449"/>
    <w:multiLevelType w:val="singleLevel"/>
    <w:tmpl w:val="62242449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E4BB9"/>
    <w:rsid w:val="3B1E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5"/>
    <w:qFormat/>
    <w:uiPriority w:val="9"/>
    <w:pPr>
      <w:keepNext/>
      <w:keepLines/>
      <w:spacing w:before="260" w:after="260" w:line="5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adjustRightInd w:val="0"/>
      <w:jc w:val="center"/>
      <w:textAlignment w:val="baseline"/>
    </w:pPr>
    <w:rPr>
      <w:kern w:val="0"/>
      <w:sz w:val="24"/>
      <w:szCs w:val="24"/>
    </w:rPr>
  </w:style>
  <w:style w:type="paragraph" w:styleId="5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2021-01-18T06:28:00Z</dcterms:created>
  <dc:creator>天空的鱼</dc:creator>
  <cp:lastModifiedBy>天空的鱼</cp:lastModifiedBy>
  <dcterms:modified xsi:type="dcterms:W3CDTF">2021-01-18T06:29:25Z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