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9F" w:rsidRPr="00F204DF" w:rsidRDefault="00525C9F" w:rsidP="00525C9F">
      <w:pPr>
        <w:pStyle w:val="1"/>
        <w:spacing w:before="0" w:after="0" w:line="460" w:lineRule="exact"/>
        <w:jc w:val="center"/>
        <w:rPr>
          <w:rFonts w:ascii="仿宋" w:eastAsia="仿宋" w:hAnsi="仿宋" w:cs="宋体"/>
        </w:rPr>
      </w:pPr>
      <w:bookmarkStart w:id="0" w:name="_Toc47538456"/>
      <w:r w:rsidRPr="00F204DF">
        <w:rPr>
          <w:rFonts w:ascii="仿宋" w:eastAsia="仿宋" w:hAnsi="仿宋" w:cs="宋体" w:hint="eastAsia"/>
        </w:rPr>
        <w:t>第三部分</w:t>
      </w:r>
      <w:bookmarkStart w:id="1" w:name="_Toc416813470"/>
      <w:bookmarkStart w:id="2" w:name="_Toc463071336"/>
      <w:r w:rsidRPr="00F204DF">
        <w:rPr>
          <w:rFonts w:ascii="仿宋" w:eastAsia="仿宋" w:hAnsi="仿宋" w:cs="宋体" w:hint="eastAsia"/>
        </w:rPr>
        <w:t xml:space="preserve"> 谈判项目要求</w:t>
      </w:r>
      <w:bookmarkStart w:id="3" w:name="_Toc390256503"/>
      <w:bookmarkStart w:id="4" w:name="_Toc400972927"/>
      <w:bookmarkEnd w:id="0"/>
      <w:bookmarkEnd w:id="1"/>
      <w:bookmarkEnd w:id="2"/>
    </w:p>
    <w:p w:rsidR="00525C9F" w:rsidRPr="00F204DF" w:rsidRDefault="00525C9F" w:rsidP="00525C9F">
      <w:pPr>
        <w:pStyle w:val="2"/>
        <w:tabs>
          <w:tab w:val="left" w:pos="6090"/>
        </w:tabs>
        <w:spacing w:before="0" w:after="0" w:line="460" w:lineRule="exact"/>
        <w:rPr>
          <w:rFonts w:ascii="仿宋" w:eastAsia="仿宋" w:hAnsi="仿宋" w:cs="宋体"/>
          <w:bCs w:val="0"/>
          <w:sz w:val="28"/>
          <w:szCs w:val="28"/>
        </w:rPr>
      </w:pPr>
      <w:bookmarkStart w:id="5" w:name="_Toc47538457"/>
      <w:bookmarkStart w:id="6" w:name="_Toc416813471"/>
      <w:bookmarkStart w:id="7" w:name="_Toc405281548"/>
      <w:bookmarkStart w:id="8" w:name="_Toc435611221"/>
      <w:r w:rsidRPr="00F204DF">
        <w:rPr>
          <w:rFonts w:ascii="仿宋" w:eastAsia="仿宋" w:hAnsi="仿宋" w:cs="宋体" w:hint="eastAsia"/>
          <w:bCs w:val="0"/>
          <w:sz w:val="28"/>
          <w:szCs w:val="28"/>
        </w:rPr>
        <w:t>第一章 谈判项目商务要求</w:t>
      </w:r>
      <w:bookmarkEnd w:id="3"/>
      <w:bookmarkEnd w:id="4"/>
      <w:bookmarkEnd w:id="5"/>
      <w:bookmarkEnd w:id="6"/>
      <w:bookmarkEnd w:id="7"/>
      <w:bookmarkEnd w:id="8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322"/>
        <w:gridCol w:w="6982"/>
      </w:tblGrid>
      <w:tr w:rsidR="00525C9F" w:rsidRPr="00F204DF" w:rsidTr="00C96244">
        <w:trPr>
          <w:trHeight w:val="424"/>
          <w:tblCellSpacing w:w="0" w:type="dxa"/>
          <w:jc w:val="center"/>
        </w:trPr>
        <w:tc>
          <w:tcPr>
            <w:tcW w:w="734" w:type="dxa"/>
            <w:shd w:val="clear" w:color="auto" w:fill="EEEEEE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22" w:type="dxa"/>
            <w:shd w:val="clear" w:color="auto" w:fill="EEEEEE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b/>
                <w:sz w:val="28"/>
                <w:szCs w:val="28"/>
              </w:rPr>
              <w:t>需求名称</w:t>
            </w:r>
          </w:p>
        </w:tc>
        <w:tc>
          <w:tcPr>
            <w:tcW w:w="6982" w:type="dxa"/>
            <w:shd w:val="clear" w:color="auto" w:fill="EEEEEE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b/>
                <w:sz w:val="28"/>
                <w:szCs w:val="28"/>
              </w:rPr>
              <w:t>需求说明</w:t>
            </w:r>
          </w:p>
        </w:tc>
      </w:tr>
      <w:tr w:rsidR="00525C9F" w:rsidRPr="00F204DF" w:rsidTr="00C96244">
        <w:trPr>
          <w:trHeight w:val="383"/>
          <w:tblCellSpacing w:w="0" w:type="dxa"/>
          <w:jc w:val="center"/>
        </w:trPr>
        <w:tc>
          <w:tcPr>
            <w:tcW w:w="734" w:type="dxa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204DF"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</w:p>
        </w:tc>
        <w:tc>
          <w:tcPr>
            <w:tcW w:w="1322" w:type="dxa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cs="宋体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交货地点</w:t>
            </w:r>
          </w:p>
        </w:tc>
        <w:tc>
          <w:tcPr>
            <w:tcW w:w="6982" w:type="dxa"/>
            <w:vAlign w:val="center"/>
          </w:tcPr>
          <w:p w:rsidR="00525C9F" w:rsidRPr="00F204DF" w:rsidRDefault="00525C9F" w:rsidP="00C96244">
            <w:pPr>
              <w:spacing w:line="460" w:lineRule="exact"/>
              <w:ind w:leftChars="20" w:left="42" w:rightChars="20" w:right="42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采购人指定地点。</w:t>
            </w:r>
          </w:p>
        </w:tc>
      </w:tr>
      <w:tr w:rsidR="00525C9F" w:rsidRPr="00F204DF" w:rsidTr="00C96244">
        <w:trPr>
          <w:trHeight w:val="509"/>
          <w:tblCellSpacing w:w="0" w:type="dxa"/>
          <w:jc w:val="center"/>
        </w:trPr>
        <w:tc>
          <w:tcPr>
            <w:tcW w:w="734" w:type="dxa"/>
            <w:vAlign w:val="center"/>
          </w:tcPr>
          <w:p w:rsidR="00525C9F" w:rsidRPr="00F204DF" w:rsidRDefault="00525C9F" w:rsidP="00C96244">
            <w:pPr>
              <w:spacing w:line="460" w:lineRule="exact"/>
              <w:ind w:firstLineChars="100" w:firstLine="280"/>
              <w:rPr>
                <w:rFonts w:ascii="仿宋" w:eastAsia="仿宋" w:hAnsi="仿宋" w:cs="黑体"/>
                <w:sz w:val="28"/>
                <w:szCs w:val="28"/>
              </w:rPr>
            </w:pPr>
            <w:r w:rsidRPr="00F204DF"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</w:p>
        </w:tc>
        <w:tc>
          <w:tcPr>
            <w:tcW w:w="1322" w:type="dxa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交货期限</w:t>
            </w:r>
          </w:p>
        </w:tc>
        <w:tc>
          <w:tcPr>
            <w:tcW w:w="6982" w:type="dxa"/>
            <w:vAlign w:val="center"/>
          </w:tcPr>
          <w:p w:rsidR="00525C9F" w:rsidRPr="00F204DF" w:rsidRDefault="00525C9F" w:rsidP="00C96244">
            <w:pPr>
              <w:spacing w:line="460" w:lineRule="exact"/>
              <w:ind w:leftChars="20" w:left="42" w:rightChars="20" w:right="42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自合同签订之日起</w:t>
            </w:r>
            <w:r w:rsidRPr="00F204DF">
              <w:rPr>
                <w:rFonts w:ascii="仿宋" w:eastAsia="仿宋" w:hAnsi="仿宋" w:cs="宋体"/>
                <w:sz w:val="28"/>
                <w:szCs w:val="28"/>
              </w:rPr>
              <w:t>20</w:t>
            </w: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个日历日内供货完毕并交付使用</w:t>
            </w:r>
            <w:r w:rsidRPr="00F204DF">
              <w:rPr>
                <w:rFonts w:ascii="仿宋" w:eastAsia="仿宋" w:hAnsi="仿宋" w:cs="宋体"/>
                <w:sz w:val="28"/>
                <w:szCs w:val="28"/>
              </w:rPr>
              <w:t>。</w:t>
            </w:r>
          </w:p>
        </w:tc>
      </w:tr>
      <w:tr w:rsidR="00525C9F" w:rsidRPr="00F204DF" w:rsidTr="00C96244">
        <w:trPr>
          <w:trHeight w:val="541"/>
          <w:tblCellSpacing w:w="0" w:type="dxa"/>
          <w:jc w:val="center"/>
        </w:trPr>
        <w:tc>
          <w:tcPr>
            <w:tcW w:w="734" w:type="dxa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F204DF">
              <w:rPr>
                <w:rFonts w:ascii="仿宋" w:eastAsia="仿宋" w:hAnsi="仿宋" w:cs="黑体" w:hint="eastAsia"/>
                <w:sz w:val="28"/>
                <w:szCs w:val="28"/>
              </w:rPr>
              <w:t>3</w:t>
            </w:r>
          </w:p>
        </w:tc>
        <w:tc>
          <w:tcPr>
            <w:tcW w:w="1322" w:type="dxa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付款方式</w:t>
            </w:r>
          </w:p>
        </w:tc>
        <w:tc>
          <w:tcPr>
            <w:tcW w:w="6982" w:type="dxa"/>
            <w:vAlign w:val="center"/>
          </w:tcPr>
          <w:p w:rsidR="00525C9F" w:rsidRPr="00F204DF" w:rsidRDefault="00525C9F" w:rsidP="00C96244">
            <w:pPr>
              <w:spacing w:line="460" w:lineRule="exact"/>
              <w:ind w:leftChars="20" w:left="42" w:rightChars="20" w:right="42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货物验收合格之日起30个工作日内，支付总货款的100%。</w:t>
            </w:r>
          </w:p>
        </w:tc>
      </w:tr>
      <w:tr w:rsidR="00525C9F" w:rsidRPr="00F204DF" w:rsidTr="00C96244">
        <w:trPr>
          <w:trHeight w:val="1577"/>
          <w:tblCellSpacing w:w="0" w:type="dxa"/>
          <w:jc w:val="center"/>
        </w:trPr>
        <w:tc>
          <w:tcPr>
            <w:tcW w:w="734" w:type="dxa"/>
            <w:vAlign w:val="center"/>
          </w:tcPr>
          <w:p w:rsidR="00525C9F" w:rsidRPr="00F204DF" w:rsidRDefault="00525C9F" w:rsidP="00C9624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1322" w:type="dxa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报价方式</w:t>
            </w:r>
          </w:p>
        </w:tc>
        <w:tc>
          <w:tcPr>
            <w:tcW w:w="6982" w:type="dxa"/>
            <w:vAlign w:val="center"/>
          </w:tcPr>
          <w:p w:rsidR="00525C9F" w:rsidRPr="00F204DF" w:rsidRDefault="00525C9F" w:rsidP="00C96244">
            <w:pPr>
              <w:spacing w:line="460" w:lineRule="exact"/>
              <w:ind w:leftChars="20" w:left="42" w:rightChars="20" w:right="42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以人民币报价，包括所有货物、材料、运输、转运、辅材、验收、税金、代理服务费等费用均包含在投报总价中。</w:t>
            </w:r>
          </w:p>
        </w:tc>
      </w:tr>
      <w:tr w:rsidR="00525C9F" w:rsidRPr="00F204DF" w:rsidTr="00C96244">
        <w:trPr>
          <w:trHeight w:val="595"/>
          <w:tblCellSpacing w:w="0" w:type="dxa"/>
          <w:jc w:val="center"/>
        </w:trPr>
        <w:tc>
          <w:tcPr>
            <w:tcW w:w="734" w:type="dxa"/>
            <w:vAlign w:val="center"/>
          </w:tcPr>
          <w:p w:rsidR="00525C9F" w:rsidRPr="00F204DF" w:rsidRDefault="00525C9F" w:rsidP="00C9624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1322" w:type="dxa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cs="宋体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货物验收</w:t>
            </w:r>
          </w:p>
        </w:tc>
        <w:tc>
          <w:tcPr>
            <w:tcW w:w="6982" w:type="dxa"/>
          </w:tcPr>
          <w:p w:rsidR="00525C9F" w:rsidRPr="00F204DF" w:rsidRDefault="00525C9F" w:rsidP="00C96244">
            <w:pPr>
              <w:spacing w:line="460" w:lineRule="exact"/>
              <w:ind w:leftChars="25" w:left="53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1.供应商交货前应对货物作出全面检查，并整理列出货物清单随货物交采购人，作为采购人货物验收的依据。</w:t>
            </w:r>
          </w:p>
          <w:p w:rsidR="00525C9F" w:rsidRPr="00F204DF" w:rsidRDefault="00525C9F" w:rsidP="00C96244">
            <w:pPr>
              <w:spacing w:line="460" w:lineRule="exact"/>
              <w:ind w:leftChars="25" w:left="53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2.采购人对供应商所交货物依照询价文件上的要求进行现场验收,达到要求的给予签收。验收不合格的不予签收，后果由供应商负责。</w:t>
            </w:r>
          </w:p>
          <w:p w:rsidR="00525C9F" w:rsidRPr="00F204DF" w:rsidRDefault="00525C9F" w:rsidP="00C96244">
            <w:pPr>
              <w:spacing w:line="460" w:lineRule="exact"/>
              <w:jc w:val="left"/>
              <w:rPr>
                <w:rFonts w:cs="宋体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3.采购人应在到货后现场验收，验收时供应商必须在场。</w:t>
            </w:r>
          </w:p>
        </w:tc>
      </w:tr>
      <w:tr w:rsidR="00525C9F" w:rsidRPr="00F204DF" w:rsidTr="00C96244">
        <w:trPr>
          <w:trHeight w:val="595"/>
          <w:tblCellSpacing w:w="0" w:type="dxa"/>
          <w:jc w:val="center"/>
        </w:trPr>
        <w:tc>
          <w:tcPr>
            <w:tcW w:w="734" w:type="dxa"/>
            <w:vAlign w:val="center"/>
          </w:tcPr>
          <w:p w:rsidR="00525C9F" w:rsidRPr="00F204DF" w:rsidRDefault="00525C9F" w:rsidP="00C9624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/>
                <w:sz w:val="28"/>
                <w:szCs w:val="28"/>
              </w:rPr>
              <w:t>6</w:t>
            </w:r>
          </w:p>
        </w:tc>
        <w:tc>
          <w:tcPr>
            <w:tcW w:w="1322" w:type="dxa"/>
            <w:vAlign w:val="center"/>
          </w:tcPr>
          <w:p w:rsidR="00525C9F" w:rsidRPr="00F204DF" w:rsidRDefault="00525C9F" w:rsidP="00C96244">
            <w:pPr>
              <w:spacing w:line="46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售后服务</w:t>
            </w:r>
          </w:p>
        </w:tc>
        <w:tc>
          <w:tcPr>
            <w:tcW w:w="6982" w:type="dxa"/>
          </w:tcPr>
          <w:p w:rsidR="00525C9F" w:rsidRPr="00F204DF" w:rsidRDefault="00525C9F" w:rsidP="00C96244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1.所有货物存在质量问题包退包换。</w:t>
            </w:r>
          </w:p>
          <w:p w:rsidR="00525C9F" w:rsidRPr="00F204DF" w:rsidRDefault="00525C9F" w:rsidP="00C96244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2.供应商应承诺售出的物品在正常使用的情况下，如有个别质量问题免费更换。</w:t>
            </w:r>
          </w:p>
          <w:p w:rsidR="00525C9F" w:rsidRPr="00F204DF" w:rsidRDefault="00525C9F" w:rsidP="00C96244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F204DF">
              <w:rPr>
                <w:rFonts w:ascii="仿宋" w:eastAsia="仿宋" w:hAnsi="仿宋" w:cs="宋体" w:hint="eastAsia"/>
                <w:sz w:val="28"/>
                <w:szCs w:val="28"/>
              </w:rPr>
              <w:t>3.物品如存在重大质量问题，供应商无条件退还全部货款（按成交价标准退还）。</w:t>
            </w:r>
          </w:p>
        </w:tc>
      </w:tr>
    </w:tbl>
    <w:p w:rsidR="00525C9F" w:rsidRPr="00F204DF" w:rsidRDefault="00525C9F" w:rsidP="00525C9F">
      <w:pPr>
        <w:pStyle w:val="2"/>
        <w:tabs>
          <w:tab w:val="left" w:pos="6090"/>
        </w:tabs>
        <w:spacing w:before="0" w:after="0" w:line="400" w:lineRule="exact"/>
        <w:rPr>
          <w:rFonts w:ascii="仿宋" w:eastAsia="仿宋" w:hAnsi="仿宋" w:cs="宋体"/>
          <w:bCs w:val="0"/>
          <w:sz w:val="28"/>
          <w:szCs w:val="28"/>
        </w:rPr>
      </w:pPr>
      <w:bookmarkStart w:id="9" w:name="_Toc416813472"/>
      <w:bookmarkStart w:id="10" w:name="_Toc229476972"/>
      <w:bookmarkStart w:id="11" w:name="_Toc390256504"/>
      <w:bookmarkStart w:id="12" w:name="_Toc535299945"/>
      <w:bookmarkStart w:id="13" w:name="_Toc405281549"/>
      <w:bookmarkStart w:id="14" w:name="_Toc400972928"/>
      <w:bookmarkStart w:id="15" w:name="_Toc435611222"/>
      <w:r w:rsidRPr="00F204DF">
        <w:rPr>
          <w:rFonts w:ascii="仿宋" w:eastAsia="仿宋" w:hAnsi="仿宋" w:cs="宋体"/>
          <w:bCs w:val="0"/>
          <w:sz w:val="28"/>
          <w:szCs w:val="28"/>
        </w:rPr>
        <w:br w:type="page"/>
      </w:r>
      <w:bookmarkStart w:id="16" w:name="_Toc47538458"/>
      <w:r w:rsidRPr="00F204DF">
        <w:rPr>
          <w:rFonts w:ascii="仿宋" w:eastAsia="仿宋" w:hAnsi="仿宋" w:cs="宋体" w:hint="eastAsia"/>
          <w:bCs w:val="0"/>
          <w:sz w:val="28"/>
          <w:szCs w:val="28"/>
        </w:rPr>
        <w:t>第二章 谈判项目技术要求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525C9F" w:rsidRPr="00F204DF" w:rsidRDefault="00525C9F" w:rsidP="00525C9F">
      <w:pPr>
        <w:pStyle w:val="a9"/>
        <w:rPr>
          <w:rFonts w:ascii="仿宋" w:eastAsia="仿宋" w:hAnsi="仿宋"/>
          <w:b/>
          <w:sz w:val="28"/>
          <w:szCs w:val="28"/>
        </w:rPr>
      </w:pPr>
      <w:r w:rsidRPr="00F204DF">
        <w:rPr>
          <w:rFonts w:ascii="仿宋" w:eastAsia="仿宋" w:hAnsi="仿宋" w:hint="eastAsia"/>
          <w:b/>
          <w:sz w:val="28"/>
          <w:szCs w:val="28"/>
        </w:rPr>
        <w:t xml:space="preserve">一、技术参数 </w:t>
      </w:r>
    </w:p>
    <w:tbl>
      <w:tblPr>
        <w:tblStyle w:val="ab"/>
        <w:tblW w:w="9736" w:type="dxa"/>
        <w:jc w:val="center"/>
        <w:tblLook w:val="04A0" w:firstRow="1" w:lastRow="0" w:firstColumn="1" w:lastColumn="0" w:noHBand="0" w:noVBand="1"/>
      </w:tblPr>
      <w:tblGrid>
        <w:gridCol w:w="717"/>
        <w:gridCol w:w="1529"/>
        <w:gridCol w:w="6396"/>
        <w:gridCol w:w="1094"/>
      </w:tblGrid>
      <w:tr w:rsidR="00525C9F" w:rsidRPr="00F204DF" w:rsidTr="00C96244">
        <w:trPr>
          <w:trHeight w:val="761"/>
          <w:jc w:val="center"/>
        </w:trPr>
        <w:tc>
          <w:tcPr>
            <w:tcW w:w="717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9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6396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参数</w:t>
            </w:r>
          </w:p>
        </w:tc>
        <w:tc>
          <w:tcPr>
            <w:tcW w:w="1094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</w:tr>
      <w:tr w:rsidR="00525C9F" w:rsidRPr="00F204DF" w:rsidTr="00C96244">
        <w:trPr>
          <w:trHeight w:val="2143"/>
          <w:jc w:val="center"/>
        </w:trPr>
        <w:tc>
          <w:tcPr>
            <w:tcW w:w="717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春秋夹克执勤服</w:t>
            </w:r>
          </w:p>
        </w:tc>
        <w:tc>
          <w:tcPr>
            <w:tcW w:w="6396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毛涤缎背哔叽：经纬纱 12.5tex×2，羊毛 60% 聚酯纤维 40%（其中40%聚酯纤维部分可根据需求不同按比例配比弹力纤维，可根据气候区域不同配比导电纤维），面料颜色：藏青色；单位面积质量： 197g/㎡（±5%</w:t>
            </w:r>
            <w:r w:rsidRPr="00F204DF"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）</w:t>
            </w:r>
            <w:r w:rsidRPr="00F204D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094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F204DF">
              <w:rPr>
                <w:rFonts w:ascii="仿宋" w:eastAsia="仿宋" w:hAnsi="仿宋"/>
                <w:sz w:val="28"/>
                <w:szCs w:val="28"/>
              </w:rPr>
              <w:t>5</w:t>
            </w:r>
            <w:r w:rsidRPr="00F204DF">
              <w:rPr>
                <w:rFonts w:ascii="仿宋" w:eastAsia="仿宋" w:hAnsi="仿宋" w:hint="eastAsia"/>
                <w:sz w:val="28"/>
                <w:szCs w:val="28"/>
              </w:rPr>
              <w:t>套</w:t>
            </w:r>
          </w:p>
        </w:tc>
      </w:tr>
      <w:tr w:rsidR="00525C9F" w:rsidRPr="00F204DF" w:rsidTr="00C96244">
        <w:trPr>
          <w:trHeight w:val="1717"/>
          <w:jc w:val="center"/>
        </w:trPr>
        <w:tc>
          <w:tcPr>
            <w:tcW w:w="717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夏装制式短袖（含单裤）</w:t>
            </w:r>
          </w:p>
        </w:tc>
        <w:tc>
          <w:tcPr>
            <w:tcW w:w="6396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精梳涤棉混纺染色方平布：5.9tex×2/11.8tex 涤：60% 棉:40%；面料颜色：天空蓝色（PANTONE 18-3945 TPX）；配色镶边：藏青色（PANTONE 19-4007 TPX）；单位面积质量：148g/㎡（±5%</w:t>
            </w:r>
            <w:r w:rsidRPr="00F204DF"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）</w:t>
            </w:r>
            <w:r w:rsidRPr="00F204D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094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170套</w:t>
            </w:r>
          </w:p>
        </w:tc>
      </w:tr>
      <w:tr w:rsidR="00525C9F" w:rsidRPr="00F204DF" w:rsidTr="00C96244">
        <w:trPr>
          <w:trHeight w:val="1717"/>
          <w:jc w:val="center"/>
        </w:trPr>
        <w:tc>
          <w:tcPr>
            <w:tcW w:w="717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29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夏装制式长袖</w:t>
            </w:r>
          </w:p>
        </w:tc>
        <w:tc>
          <w:tcPr>
            <w:tcW w:w="6396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精梳涤棉混纺染色方平布：5.9tex×2/11.8tex 涤：60% 棉:40%；面料颜色：天空蓝色（PANTONE 18-3945 TPX）；配色镶边：藏青色（PANTONE 19-4007 TPX）；单位面积质量：148g/㎡（±5%</w:t>
            </w:r>
            <w:r w:rsidRPr="00F204DF"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）</w:t>
            </w:r>
            <w:r w:rsidRPr="00F204DF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1094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85套</w:t>
            </w:r>
          </w:p>
        </w:tc>
      </w:tr>
      <w:tr w:rsidR="00525C9F" w:rsidRPr="00F204DF" w:rsidTr="00C96244">
        <w:trPr>
          <w:trHeight w:val="863"/>
          <w:jc w:val="center"/>
        </w:trPr>
        <w:tc>
          <w:tcPr>
            <w:tcW w:w="717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29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标志标识</w:t>
            </w:r>
          </w:p>
        </w:tc>
        <w:tc>
          <w:tcPr>
            <w:tcW w:w="6396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符合《城市管理执法制式服装和标志标识技术指引（试行）》要求。</w:t>
            </w:r>
          </w:p>
        </w:tc>
        <w:tc>
          <w:tcPr>
            <w:tcW w:w="1094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340套</w:t>
            </w:r>
          </w:p>
        </w:tc>
      </w:tr>
      <w:tr w:rsidR="00525C9F" w:rsidRPr="00F204DF" w:rsidTr="00C96244">
        <w:trPr>
          <w:trHeight w:val="863"/>
          <w:jc w:val="center"/>
        </w:trPr>
        <w:tc>
          <w:tcPr>
            <w:tcW w:w="717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29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大檐帽</w:t>
            </w:r>
          </w:p>
        </w:tc>
        <w:tc>
          <w:tcPr>
            <w:tcW w:w="6396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符合《城市管理执法制式服装和标志标识技术指引（试行）》要求。</w:t>
            </w:r>
          </w:p>
        </w:tc>
        <w:tc>
          <w:tcPr>
            <w:tcW w:w="1094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85顶</w:t>
            </w:r>
          </w:p>
        </w:tc>
      </w:tr>
      <w:tr w:rsidR="00525C9F" w:rsidRPr="00F204DF" w:rsidTr="00C96244">
        <w:trPr>
          <w:trHeight w:val="863"/>
          <w:jc w:val="center"/>
        </w:trPr>
        <w:tc>
          <w:tcPr>
            <w:tcW w:w="717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29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作训帽（夏）</w:t>
            </w:r>
          </w:p>
        </w:tc>
        <w:tc>
          <w:tcPr>
            <w:tcW w:w="6396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符合《城市管理执法制式服装和标志标识技术指引（试行）》要求。</w:t>
            </w:r>
          </w:p>
        </w:tc>
        <w:tc>
          <w:tcPr>
            <w:tcW w:w="1094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85顶</w:t>
            </w:r>
          </w:p>
        </w:tc>
      </w:tr>
      <w:tr w:rsidR="00525C9F" w:rsidRPr="00F204DF" w:rsidTr="00C96244">
        <w:trPr>
          <w:trHeight w:val="863"/>
          <w:jc w:val="center"/>
        </w:trPr>
        <w:tc>
          <w:tcPr>
            <w:tcW w:w="717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29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腰带</w:t>
            </w:r>
          </w:p>
        </w:tc>
        <w:tc>
          <w:tcPr>
            <w:tcW w:w="6396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长：110-125CM，扣头：金属、部颁标准，皮质：A级头层牛皮，颜色：黑色。</w:t>
            </w:r>
          </w:p>
        </w:tc>
        <w:tc>
          <w:tcPr>
            <w:tcW w:w="1094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85条</w:t>
            </w:r>
          </w:p>
        </w:tc>
      </w:tr>
      <w:tr w:rsidR="00525C9F" w:rsidRPr="00F204DF" w:rsidTr="00C96244">
        <w:trPr>
          <w:trHeight w:val="874"/>
          <w:jc w:val="center"/>
        </w:trPr>
        <w:tc>
          <w:tcPr>
            <w:tcW w:w="717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29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反光背心</w:t>
            </w:r>
          </w:p>
        </w:tc>
        <w:tc>
          <w:tcPr>
            <w:tcW w:w="6396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符合《城市管理执法制式服装和标志标识技术指引（试行）》要求。</w:t>
            </w:r>
          </w:p>
        </w:tc>
        <w:tc>
          <w:tcPr>
            <w:tcW w:w="1094" w:type="dxa"/>
            <w:vAlign w:val="center"/>
          </w:tcPr>
          <w:p w:rsidR="00525C9F" w:rsidRPr="00F204DF" w:rsidRDefault="00525C9F" w:rsidP="00C96244">
            <w:pPr>
              <w:pStyle w:val="a9"/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204DF">
              <w:rPr>
                <w:rFonts w:ascii="仿宋" w:eastAsia="仿宋" w:hAnsi="仿宋" w:hint="eastAsia"/>
                <w:sz w:val="28"/>
                <w:szCs w:val="28"/>
              </w:rPr>
              <w:t>85件</w:t>
            </w:r>
          </w:p>
        </w:tc>
      </w:tr>
    </w:tbl>
    <w:p w:rsidR="00AF5752" w:rsidRDefault="00AF5752">
      <w:bookmarkStart w:id="17" w:name="_GoBack"/>
      <w:bookmarkEnd w:id="17"/>
    </w:p>
    <w:sectPr w:rsidR="00AF5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9F" w:rsidRDefault="00525C9F" w:rsidP="00525C9F">
      <w:r>
        <w:separator/>
      </w:r>
    </w:p>
  </w:endnote>
  <w:endnote w:type="continuationSeparator" w:id="0">
    <w:p w:rsidR="00525C9F" w:rsidRDefault="00525C9F" w:rsidP="0052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9F" w:rsidRDefault="00525C9F" w:rsidP="00525C9F">
      <w:r>
        <w:separator/>
      </w:r>
    </w:p>
  </w:footnote>
  <w:footnote w:type="continuationSeparator" w:id="0">
    <w:p w:rsidR="00525C9F" w:rsidRDefault="00525C9F" w:rsidP="00525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48"/>
    <w:rsid w:val="00207148"/>
    <w:rsid w:val="00525C9F"/>
    <w:rsid w:val="00A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7801FC3-73ED-404E-8A50-07456D38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5C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25C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0"/>
    <w:uiPriority w:val="9"/>
    <w:qFormat/>
    <w:rsid w:val="00525C9F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unhideWhenUsed/>
    <w:rsid w:val="0052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525C9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5C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525C9F"/>
    <w:rPr>
      <w:sz w:val="18"/>
      <w:szCs w:val="18"/>
    </w:rPr>
  </w:style>
  <w:style w:type="character" w:customStyle="1" w:styleId="10">
    <w:name w:val="标题 1 字符"/>
    <w:basedOn w:val="a2"/>
    <w:link w:val="1"/>
    <w:uiPriority w:val="9"/>
    <w:rsid w:val="00525C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2"/>
    <w:link w:val="2"/>
    <w:uiPriority w:val="9"/>
    <w:rsid w:val="00525C9F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9">
    <w:name w:val="Plain Text"/>
    <w:basedOn w:val="a"/>
    <w:link w:val="aa"/>
    <w:qFormat/>
    <w:rsid w:val="00525C9F"/>
    <w:rPr>
      <w:rFonts w:ascii="宋体" w:hAnsi="Courier New"/>
      <w:kern w:val="0"/>
    </w:rPr>
  </w:style>
  <w:style w:type="character" w:customStyle="1" w:styleId="aa">
    <w:name w:val="纯文本 字符"/>
    <w:basedOn w:val="a2"/>
    <w:link w:val="a9"/>
    <w:qFormat/>
    <w:rsid w:val="00525C9F"/>
    <w:rPr>
      <w:rFonts w:ascii="宋体" w:eastAsia="宋体" w:hAnsi="Courier New" w:cs="Times New Roman"/>
      <w:kern w:val="0"/>
      <w:szCs w:val="21"/>
    </w:rPr>
  </w:style>
  <w:style w:type="table" w:styleId="ab">
    <w:name w:val="Table Grid"/>
    <w:basedOn w:val="a3"/>
    <w:qFormat/>
    <w:rsid w:val="00525C9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c"/>
    <w:uiPriority w:val="99"/>
    <w:semiHidden/>
    <w:unhideWhenUsed/>
    <w:rsid w:val="00525C9F"/>
    <w:pPr>
      <w:spacing w:after="120"/>
    </w:pPr>
  </w:style>
  <w:style w:type="character" w:customStyle="1" w:styleId="ac">
    <w:name w:val="正文文本 字符"/>
    <w:basedOn w:val="a2"/>
    <w:link w:val="a0"/>
    <w:uiPriority w:val="99"/>
    <w:semiHidden/>
    <w:rsid w:val="00525C9F"/>
    <w:rPr>
      <w:rFonts w:ascii="Times New Roman" w:eastAsia="宋体" w:hAnsi="Times New Roman" w:cs="Times New Roman"/>
      <w:szCs w:val="21"/>
    </w:rPr>
  </w:style>
  <w:style w:type="paragraph" w:styleId="a1">
    <w:name w:val="Normal Indent"/>
    <w:basedOn w:val="a"/>
    <w:uiPriority w:val="99"/>
    <w:semiHidden/>
    <w:unhideWhenUsed/>
    <w:rsid w:val="00525C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2021-07-06T04:29:00Z</dcterms:created>
  <dcterms:modified xsi:type="dcterms:W3CDTF">2021-07-06T04:29:00Z</dcterms:modified>
</cp:coreProperties>
</file>